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5"/>
      </w:tblGrid>
      <w:tr w:rsidR="004E5FEF" w:rsidRPr="00BE0481">
        <w:trPr>
          <w:trHeight w:val="1405"/>
          <w:jc w:val="center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BE0481" w:rsidRPr="009B5553" w:rsidRDefault="008953A8" w:rsidP="008953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it-IT"/>
              </w:rPr>
              <w:t>PROCEDURA</w:t>
            </w:r>
            <w:r w:rsidR="00B02B30" w:rsidRPr="007B1DE4">
              <w:rPr>
                <w:rFonts w:ascii="Times New Roman" w:hAnsi="Times New Roman" w:cs="Times New Roman"/>
                <w:b/>
                <w:sz w:val="36"/>
                <w:szCs w:val="36"/>
                <w:lang w:val="it-IT"/>
              </w:rPr>
              <w:t xml:space="preserve"> ZA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it-IT"/>
              </w:rPr>
              <w:t>UPRAVLJANJE RADIOAKTIVNIM OTPADOM</w:t>
            </w:r>
          </w:p>
        </w:tc>
      </w:tr>
    </w:tbl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tbl>
      <w:tblPr>
        <w:tblW w:w="97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2268"/>
        <w:gridCol w:w="2363"/>
        <w:gridCol w:w="2410"/>
      </w:tblGrid>
      <w:tr w:rsidR="004E5FEF" w:rsidRPr="00D6579E">
        <w:trPr>
          <w:jc w:val="center"/>
        </w:trPr>
        <w:tc>
          <w:tcPr>
            <w:tcW w:w="1101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Delovodni broj:</w:t>
            </w:r>
          </w:p>
        </w:tc>
        <w:tc>
          <w:tcPr>
            <w:tcW w:w="23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Izradio: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Odobrio:</w:t>
            </w:r>
          </w:p>
        </w:tc>
      </w:tr>
      <w:tr w:rsidR="004E5FEF" w:rsidRPr="00D6579E">
        <w:trPr>
          <w:jc w:val="center"/>
        </w:trPr>
        <w:tc>
          <w:tcPr>
            <w:tcW w:w="1101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7B1DE4" w:rsidRDefault="004E5FEF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7B1DE4" w:rsidRDefault="004E5FEF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7B1DE4" w:rsidRDefault="0017161C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7B1DE4" w:rsidRDefault="004E5FEF" w:rsidP="00BF26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4E5FEF" w:rsidRPr="007B1DE4" w:rsidRDefault="0025649A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Komisija za odobravanje procedura</w:t>
            </w:r>
          </w:p>
        </w:tc>
      </w:tr>
    </w:tbl>
    <w:p w:rsidR="004E5FEF" w:rsidRDefault="004E5FEF" w:rsidP="00B02B30">
      <w:pPr>
        <w:spacing w:line="360" w:lineRule="auto"/>
        <w:jc w:val="center"/>
        <w:rPr>
          <w:sz w:val="24"/>
          <w:szCs w:val="24"/>
        </w:rPr>
      </w:pPr>
    </w:p>
    <w:p w:rsidR="004E5FEF" w:rsidRPr="008E2AB8" w:rsidRDefault="004E5FEF" w:rsidP="002B10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AB8">
        <w:rPr>
          <w:rFonts w:ascii="Times New Roman" w:hAnsi="Times New Roman" w:cs="Times New Roman"/>
          <w:b/>
          <w:sz w:val="28"/>
          <w:szCs w:val="28"/>
          <w:u w:val="single"/>
        </w:rPr>
        <w:t>LISTA IZMENA I DOPUNA</w:t>
      </w:r>
    </w:p>
    <w:tbl>
      <w:tblPr>
        <w:tblW w:w="96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559"/>
        <w:gridCol w:w="2268"/>
        <w:gridCol w:w="2321"/>
        <w:gridCol w:w="2382"/>
      </w:tblGrid>
      <w:tr w:rsidR="004E5FEF" w:rsidRPr="007B1DE4">
        <w:trPr>
          <w:trHeight w:val="420"/>
          <w:jc w:val="center"/>
        </w:trPr>
        <w:tc>
          <w:tcPr>
            <w:tcW w:w="1100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Razlog izmene: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Izradio: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Odobrio:</w:t>
            </w:r>
          </w:p>
        </w:tc>
      </w:tr>
      <w:tr w:rsidR="004E5FEF" w:rsidRPr="007B1DE4">
        <w:trPr>
          <w:trHeight w:val="30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8567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8567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FEF" w:rsidRPr="007B1DE4" w:rsidRDefault="004E5FEF" w:rsidP="002564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67" w:rsidRPr="007B1DE4">
        <w:trPr>
          <w:trHeight w:val="435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767" w:rsidRPr="007B1DE4" w:rsidRDefault="00856767" w:rsidP="00277F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6767" w:rsidRPr="007B1DE4">
        <w:trPr>
          <w:jc w:val="center"/>
        </w:trPr>
        <w:tc>
          <w:tcPr>
            <w:tcW w:w="1100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EF" w:rsidRDefault="004E5FEF" w:rsidP="009A4F95">
      <w:pPr>
        <w:pStyle w:val="NoSpacing"/>
        <w:spacing w:after="120"/>
        <w:rPr>
          <w:rFonts w:cs="Calibri"/>
          <w:lang w:val="en-US"/>
        </w:rPr>
      </w:pPr>
    </w:p>
    <w:p w:rsidR="0025649A" w:rsidRDefault="0025649A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D73020" w:rsidRDefault="00D73020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8E2AB8" w:rsidRDefault="008E2AB8" w:rsidP="008E2AB8">
      <w:pPr>
        <w:pStyle w:val="NoSpacing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11201D" w:rsidRDefault="0011201D" w:rsidP="008E2AB8">
      <w:pPr>
        <w:pStyle w:val="NoSpacing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4E5FEF" w:rsidRPr="00DE725B" w:rsidRDefault="004E5FEF" w:rsidP="00E30C37">
      <w:pPr>
        <w:pStyle w:val="NoSpacing"/>
        <w:rPr>
          <w:rFonts w:ascii="Times New Roman" w:hAnsi="Times New Roman"/>
          <w:b/>
          <w:bCs/>
          <w:sz w:val="28"/>
          <w:szCs w:val="28"/>
          <w:u w:val="single"/>
        </w:rPr>
      </w:pPr>
      <w:r w:rsidRPr="00DE725B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PREDMET, CILJ I PODRUČJE PRIMENE</w:t>
      </w:r>
    </w:p>
    <w:p w:rsidR="00E30C37" w:rsidRPr="00DE725B" w:rsidRDefault="00E30C37" w:rsidP="00E30C37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B6EA9" w:rsidRPr="004E02B3" w:rsidRDefault="005D47A5" w:rsidP="00E30C37">
      <w:pPr>
        <w:spacing w:before="240" w:after="0"/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 w:rsidRPr="00DE725B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  <w:r w:rsidRPr="004E02B3">
        <w:rPr>
          <w:rFonts w:ascii="Times New Roman" w:hAnsi="Times New Roman" w:cs="Times New Roman"/>
          <w:sz w:val="24"/>
          <w:szCs w:val="24"/>
          <w:lang w:val="sr-Latn-RS"/>
        </w:rPr>
        <w:t xml:space="preserve">U Centru za nuklearnu medicinu, pored dominatnih radiofarmaceutika obeleženih sa </w:t>
      </w:r>
      <w:r w:rsidRPr="004E02B3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99m</w:t>
      </w:r>
      <w:r w:rsidRPr="004E02B3">
        <w:rPr>
          <w:rFonts w:ascii="Times New Roman" w:hAnsi="Times New Roman" w:cs="Times New Roman"/>
          <w:sz w:val="24"/>
          <w:szCs w:val="24"/>
          <w:lang w:val="sr-Latn-RS"/>
        </w:rPr>
        <w:t xml:space="preserve">Tc (koji se dobija preko </w:t>
      </w:r>
      <w:r w:rsidRPr="004E02B3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99m</w:t>
      </w:r>
      <w:r w:rsidRPr="004E02B3">
        <w:rPr>
          <w:rFonts w:ascii="Times New Roman" w:hAnsi="Times New Roman" w:cs="Times New Roman"/>
          <w:sz w:val="24"/>
          <w:szCs w:val="24"/>
          <w:lang w:val="sr-Latn-RS"/>
        </w:rPr>
        <w:t>Tc/</w:t>
      </w:r>
      <w:r w:rsidRPr="004E02B3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99</w:t>
      </w:r>
      <w:r w:rsidRPr="004E02B3">
        <w:rPr>
          <w:rFonts w:ascii="Times New Roman" w:hAnsi="Times New Roman" w:cs="Times New Roman"/>
          <w:sz w:val="24"/>
          <w:szCs w:val="24"/>
          <w:lang w:val="sr-Latn-RS"/>
        </w:rPr>
        <w:t xml:space="preserve">Mo generatora) i </w:t>
      </w:r>
      <w:r w:rsidRPr="004E02B3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18</w:t>
      </w:r>
      <w:r w:rsidRPr="004E02B3">
        <w:rPr>
          <w:rFonts w:ascii="Times New Roman" w:hAnsi="Times New Roman" w:cs="Times New Roman"/>
          <w:sz w:val="24"/>
          <w:szCs w:val="24"/>
          <w:lang w:val="sr-Latn-RS"/>
        </w:rPr>
        <w:t xml:space="preserve">F (za sada samo radiofarmaceutik fluoro-deoksi-glukoza (FDG) koji nam se gotov doprema) koriste se i radiofamaceutici na bazi </w:t>
      </w:r>
      <w:r w:rsidRPr="004E02B3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123</w:t>
      </w:r>
      <w:r w:rsidRPr="004E02B3">
        <w:rPr>
          <w:rFonts w:ascii="Times New Roman" w:hAnsi="Times New Roman" w:cs="Times New Roman"/>
          <w:sz w:val="24"/>
          <w:szCs w:val="24"/>
          <w:lang w:val="sr-Latn-RS"/>
        </w:rPr>
        <w:t xml:space="preserve">I, </w:t>
      </w:r>
      <w:r w:rsidRPr="004E02B3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111</w:t>
      </w:r>
      <w:r w:rsidRPr="004E02B3">
        <w:rPr>
          <w:rFonts w:ascii="Times New Roman" w:hAnsi="Times New Roman" w:cs="Times New Roman"/>
          <w:sz w:val="24"/>
          <w:szCs w:val="24"/>
          <w:lang w:val="sr-Latn-RS"/>
        </w:rPr>
        <w:t xml:space="preserve">In i </w:t>
      </w:r>
      <w:r w:rsidRPr="004E02B3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51</w:t>
      </w:r>
      <w:r w:rsidRPr="004E02B3">
        <w:rPr>
          <w:rFonts w:ascii="Times New Roman" w:hAnsi="Times New Roman" w:cs="Times New Roman"/>
          <w:sz w:val="24"/>
          <w:szCs w:val="24"/>
          <w:lang w:val="sr-Latn-RS"/>
        </w:rPr>
        <w:t xml:space="preserve">Cr. </w:t>
      </w:r>
      <w:r w:rsidR="00CB6EA9" w:rsidRPr="004E02B3">
        <w:rPr>
          <w:rFonts w:ascii="Times New Roman" w:hAnsi="Times New Roman" w:cs="Times New Roman"/>
          <w:sz w:val="24"/>
          <w:szCs w:val="24"/>
          <w:lang w:val="sr-Latn-RS"/>
        </w:rPr>
        <w:t>Špricevi, igle, bočice, rukavice, telesne tečnosti i sekreti pacijenata i sve drugo što nastaje u proc</w:t>
      </w:r>
      <w:r w:rsidR="00517ABA" w:rsidRPr="004E02B3">
        <w:rPr>
          <w:rFonts w:ascii="Times New Roman" w:hAnsi="Times New Roman" w:cs="Times New Roman"/>
          <w:sz w:val="24"/>
          <w:szCs w:val="24"/>
          <w:lang w:val="sr-Latn-RS"/>
        </w:rPr>
        <w:t xml:space="preserve">esu rada sa radiofarmaceuticima odnosno </w:t>
      </w:r>
      <w:r w:rsidR="00CB6EA9" w:rsidRPr="004E02B3">
        <w:rPr>
          <w:rFonts w:ascii="Times New Roman" w:hAnsi="Times New Roman" w:cs="Times New Roman"/>
          <w:sz w:val="24"/>
          <w:szCs w:val="24"/>
          <w:lang w:val="sr-Latn-RS"/>
        </w:rPr>
        <w:t xml:space="preserve">pacijentima koji su primili administriranu aktivnost a čija dalja upotreba </w:t>
      </w:r>
      <w:r w:rsidR="00CB6EA9" w:rsidRPr="004E02B3">
        <w:rPr>
          <w:rFonts w:ascii="Times New Roman" w:hAnsi="Times New Roman"/>
          <w:bCs/>
          <w:sz w:val="24"/>
          <w:szCs w:val="24"/>
          <w:lang w:val="sr-Latn-RS"/>
        </w:rPr>
        <w:t>nije planirana ni predviđena predstavlja radioaktivni otpad. Osim toga, radioaktivni otpad čine i radioaktivni izvori koji se koriste za kontrolu kvaliteta</w:t>
      </w:r>
      <w:r w:rsidR="00E30C37" w:rsidRPr="004E02B3">
        <w:rPr>
          <w:rFonts w:ascii="Times New Roman" w:hAnsi="Times New Roman"/>
          <w:bCs/>
          <w:sz w:val="24"/>
          <w:szCs w:val="24"/>
          <w:lang w:val="sr-Latn-RS"/>
        </w:rPr>
        <w:t xml:space="preserve"> (na bazi  </w:t>
      </w:r>
      <w:r w:rsidR="00E30C37" w:rsidRPr="004E02B3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137</w:t>
      </w:r>
      <w:r w:rsidR="00E30C37" w:rsidRPr="004E02B3">
        <w:rPr>
          <w:rFonts w:ascii="Times New Roman" w:hAnsi="Times New Roman" w:cs="Times New Roman"/>
          <w:sz w:val="24"/>
          <w:szCs w:val="24"/>
          <w:lang w:val="sr-Latn-RS"/>
        </w:rPr>
        <w:t xml:space="preserve">Cs, </w:t>
      </w:r>
      <w:r w:rsidR="00E30C37" w:rsidRPr="004E02B3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57</w:t>
      </w:r>
      <w:r w:rsidR="00E30C37" w:rsidRPr="004E02B3">
        <w:rPr>
          <w:rFonts w:ascii="Times New Roman" w:hAnsi="Times New Roman" w:cs="Times New Roman"/>
          <w:sz w:val="24"/>
          <w:szCs w:val="24"/>
          <w:lang w:val="sr-Latn-RS"/>
        </w:rPr>
        <w:t xml:space="preserve">Co i </w:t>
      </w:r>
      <w:r w:rsidR="00E30C37" w:rsidRPr="004E02B3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68</w:t>
      </w:r>
      <w:r w:rsidR="00E30C37" w:rsidRPr="004E02B3">
        <w:rPr>
          <w:rFonts w:ascii="Times New Roman" w:hAnsi="Times New Roman" w:cs="Times New Roman"/>
          <w:sz w:val="24"/>
          <w:szCs w:val="24"/>
          <w:lang w:val="sr-Latn-RS"/>
        </w:rPr>
        <w:t>Ge)</w:t>
      </w:r>
      <w:r w:rsidR="00CB6EA9" w:rsidRPr="004E02B3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CB6EA9" w:rsidRPr="004E02B3">
        <w:rPr>
          <w:rFonts w:ascii="Times New Roman" w:hAnsi="Times New Roman" w:cs="Times New Roman"/>
          <w:sz w:val="24"/>
          <w:szCs w:val="24"/>
          <w:lang w:val="sr-Latn-RS"/>
        </w:rPr>
        <w:t xml:space="preserve"> koji posle određenog vremena, zavisno od početne aktivnosti i vremena poluraspada, nisu više za dalju upotrebu.</w:t>
      </w:r>
    </w:p>
    <w:p w:rsidR="00CB6EA9" w:rsidRPr="004E02B3" w:rsidRDefault="00CB6EA9" w:rsidP="00E30C3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30C37" w:rsidRPr="00DE725B" w:rsidRDefault="00E30C37" w:rsidP="00E30C3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E02B3">
        <w:rPr>
          <w:rFonts w:ascii="Times New Roman" w:hAnsi="Times New Roman" w:cs="Times New Roman"/>
          <w:sz w:val="24"/>
          <w:szCs w:val="24"/>
          <w:lang w:val="sr-Latn-RS"/>
        </w:rPr>
        <w:t xml:space="preserve">       Efikasni program za upravljanje </w:t>
      </w:r>
      <w:r w:rsidRPr="00DE725B">
        <w:rPr>
          <w:rFonts w:ascii="Times New Roman" w:hAnsi="Times New Roman" w:cs="Times New Roman"/>
          <w:sz w:val="24"/>
          <w:szCs w:val="24"/>
          <w:lang w:val="sr-Latn-RS"/>
        </w:rPr>
        <w:t xml:space="preserve">radioaktivnim otpadom bazira se na principima prevencije stvaranja i remedijacije, uz obezbeđivanje zaštite od svih potencijalnih vanrednih situacija, u skladu sa regulatornim zahtevima (Direktorat za radijacionu i nuklearnu sigurnost i bezbednost Srbije). </w:t>
      </w:r>
    </w:p>
    <w:p w:rsidR="00E30C37" w:rsidRPr="00DE725B" w:rsidRDefault="00E30C37" w:rsidP="000F75AC">
      <w:pPr>
        <w:pStyle w:val="NoSpacing"/>
        <w:spacing w:line="276" w:lineRule="auto"/>
        <w:rPr>
          <w:rFonts w:ascii="Times New Roman" w:hAnsi="Times New Roman"/>
          <w:bCs/>
        </w:rPr>
      </w:pPr>
    </w:p>
    <w:p w:rsidR="00E30C37" w:rsidRPr="00DE725B" w:rsidRDefault="00E30C37" w:rsidP="000F75AC">
      <w:pPr>
        <w:pStyle w:val="NoSpacing"/>
        <w:spacing w:line="276" w:lineRule="auto"/>
        <w:rPr>
          <w:rFonts w:ascii="Times New Roman" w:hAnsi="Times New Roman"/>
          <w:bCs/>
        </w:rPr>
      </w:pPr>
    </w:p>
    <w:p w:rsidR="004E5FEF" w:rsidRPr="00DE725B" w:rsidRDefault="00653C4D" w:rsidP="000F75AC">
      <w:pPr>
        <w:pStyle w:val="NoSpacing"/>
        <w:spacing w:after="120"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E725B">
        <w:rPr>
          <w:rFonts w:ascii="Times New Roman" w:hAnsi="Times New Roman"/>
          <w:b/>
          <w:bCs/>
          <w:sz w:val="28"/>
          <w:szCs w:val="28"/>
          <w:u w:val="single"/>
        </w:rPr>
        <w:t>VEZA SA DRUGIM DOKUMENTIMA</w:t>
      </w:r>
      <w:r w:rsidR="004E5FEF" w:rsidRPr="00DE725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197B3C" w:rsidRPr="00DE725B" w:rsidRDefault="00197B3C" w:rsidP="000F75AC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E5FEF" w:rsidRPr="00DE725B" w:rsidRDefault="0011201D" w:rsidP="00C0150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bCs/>
        </w:rPr>
      </w:pPr>
      <w:r w:rsidRPr="00DE725B">
        <w:rPr>
          <w:rFonts w:ascii="Times New Roman" w:hAnsi="Times New Roman"/>
          <w:bCs/>
        </w:rPr>
        <w:t>Interna uputstva o merama zaštite od jonizujućih zračenja</w:t>
      </w:r>
    </w:p>
    <w:p w:rsidR="0011201D" w:rsidRPr="00DE725B" w:rsidRDefault="0011201D" w:rsidP="00C0150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bCs/>
        </w:rPr>
      </w:pPr>
      <w:r w:rsidRPr="00DE725B">
        <w:rPr>
          <w:rFonts w:ascii="Times New Roman" w:hAnsi="Times New Roman"/>
          <w:bCs/>
        </w:rPr>
        <w:t>Pravila u radu sa radioaktivnim materijama</w:t>
      </w:r>
    </w:p>
    <w:p w:rsidR="0011201D" w:rsidRPr="00DE725B" w:rsidRDefault="00C20F49" w:rsidP="00C0150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bCs/>
        </w:rPr>
      </w:pPr>
      <w:r w:rsidRPr="00DE725B">
        <w:rPr>
          <w:rFonts w:ascii="Times New Roman" w:hAnsi="Times New Roman"/>
          <w:bCs/>
        </w:rPr>
        <w:t>Procedure za dekontaminaciju lica i radnih površina</w:t>
      </w:r>
    </w:p>
    <w:p w:rsidR="00E6300A" w:rsidRPr="00DE725B" w:rsidRDefault="00135850" w:rsidP="00C0150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bCs/>
        </w:rPr>
      </w:pPr>
      <w:r w:rsidRPr="00DE725B">
        <w:rPr>
          <w:rFonts w:ascii="Times New Roman" w:hAnsi="Times New Roman"/>
          <w:bCs/>
        </w:rPr>
        <w:t>Procedu</w:t>
      </w:r>
      <w:r w:rsidR="00751E5F" w:rsidRPr="00DE725B">
        <w:rPr>
          <w:rFonts w:ascii="Times New Roman" w:hAnsi="Times New Roman"/>
          <w:bCs/>
        </w:rPr>
        <w:t>re za kontrolu kvaliteta uređaja i aparata</w:t>
      </w:r>
    </w:p>
    <w:p w:rsidR="00C20F49" w:rsidRPr="00DE725B" w:rsidRDefault="00C20F49" w:rsidP="00E30C37">
      <w:pPr>
        <w:pStyle w:val="NoSpacing"/>
        <w:numPr>
          <w:ilvl w:val="0"/>
          <w:numId w:val="15"/>
        </w:numPr>
        <w:spacing w:after="240" w:line="276" w:lineRule="auto"/>
        <w:rPr>
          <w:rFonts w:ascii="Times New Roman" w:hAnsi="Times New Roman"/>
          <w:bCs/>
        </w:rPr>
      </w:pPr>
      <w:r w:rsidRPr="00DE725B">
        <w:rPr>
          <w:rFonts w:ascii="Times New Roman" w:hAnsi="Times New Roman"/>
          <w:bCs/>
        </w:rPr>
        <w:t>Pravila u slučaju gubitka radioaktivnog izvora</w:t>
      </w:r>
    </w:p>
    <w:p w:rsidR="00C20F49" w:rsidRPr="00DE725B" w:rsidRDefault="00C20F49" w:rsidP="000F75AC">
      <w:pPr>
        <w:pStyle w:val="NoSpacing"/>
        <w:spacing w:after="120" w:line="276" w:lineRule="auto"/>
        <w:rPr>
          <w:rFonts w:ascii="Times New Roman" w:hAnsi="Times New Roman"/>
          <w:bCs/>
        </w:rPr>
      </w:pPr>
    </w:p>
    <w:p w:rsidR="001E496E" w:rsidRPr="00DE725B" w:rsidRDefault="0013425B" w:rsidP="00E30C37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DE725B">
        <w:rPr>
          <w:rFonts w:ascii="Times New Roman" w:hAnsi="Times New Roman"/>
          <w:b/>
          <w:bCs/>
          <w:sz w:val="28"/>
          <w:szCs w:val="28"/>
          <w:u w:val="single"/>
        </w:rPr>
        <w:t>OPIS PROCESA RADA</w:t>
      </w:r>
      <w:r w:rsidR="004E5FEF" w:rsidRPr="00DE725B">
        <w:rPr>
          <w:rFonts w:ascii="Times New Roman" w:hAnsi="Times New Roman"/>
          <w:sz w:val="28"/>
          <w:szCs w:val="28"/>
        </w:rPr>
        <w:t xml:space="preserve"> </w:t>
      </w:r>
    </w:p>
    <w:p w:rsidR="008953A8" w:rsidRPr="00DE725B" w:rsidRDefault="008953A8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968F7" w:rsidRPr="00B96535" w:rsidRDefault="00A968F7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30C37" w:rsidRPr="004E02B3" w:rsidRDefault="001A1E6E" w:rsidP="00FF6122">
      <w:pPr>
        <w:tabs>
          <w:tab w:val="left" w:pos="123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725B"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  <w:r w:rsidR="00A968F7"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>„Isluženi</w:t>
      </w:r>
      <w:r w:rsidR="00A968F7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” </w:t>
      </w:r>
      <w:r w:rsidR="00A968F7" w:rsidRPr="004E02B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99m</w:t>
      </w:r>
      <w:r w:rsidR="00A968F7" w:rsidRPr="004E02B3">
        <w:rPr>
          <w:rFonts w:ascii="Times New Roman" w:hAnsi="Times New Roman" w:cs="Times New Roman"/>
          <w:sz w:val="24"/>
          <w:szCs w:val="24"/>
          <w:lang w:val="es-ES"/>
        </w:rPr>
        <w:t>Tc/</w:t>
      </w:r>
      <w:r w:rsidR="00A968F7" w:rsidRPr="004E02B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99</w:t>
      </w:r>
      <w:r w:rsidR="00A968F7" w:rsidRPr="004E02B3">
        <w:rPr>
          <w:rFonts w:ascii="Times New Roman" w:hAnsi="Times New Roman" w:cs="Times New Roman"/>
          <w:sz w:val="24"/>
          <w:szCs w:val="24"/>
          <w:lang w:val="es-ES"/>
        </w:rPr>
        <w:t xml:space="preserve">Mo </w:t>
      </w:r>
      <w:r w:rsidR="00A968F7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>generator se vraća isporučiocu (Institut za nuklearn</w:t>
      </w:r>
      <w:r w:rsidR="00E81F43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>e nauke „Vinča“) svake nedelje</w:t>
      </w:r>
      <w:r w:rsidR="005D47A5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="00A968F7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="00A968F7" w:rsidRPr="004E02B3">
        <w:rPr>
          <w:rStyle w:val="im"/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A968F7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>(Zatvoreni)  izvori za potrebe kalibracija i kontrole kvaliteta se</w:t>
      </w:r>
      <w:r w:rsidR="00E30C37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="00A968F7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nakon  perioda iskoristljivosti, uz ugovornu obavezu, predaju isporučiocima novih  izvora ili direktno predaju Nuklearnim objektima Srbije na odlaganje. </w:t>
      </w:r>
    </w:p>
    <w:p w:rsidR="00FF6122" w:rsidRPr="004E02B3" w:rsidRDefault="00FF6122" w:rsidP="00FF6122">
      <w:pPr>
        <w:tabs>
          <w:tab w:val="left" w:pos="123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E725B" w:rsidRPr="00DE725B" w:rsidRDefault="001A1E6E" w:rsidP="00A33A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        </w:t>
      </w:r>
      <w:r w:rsidR="00A968F7"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>Tretman ostalog RAO se obezbeđuje strategijom na licu mesta.</w:t>
      </w:r>
      <w:r w:rsidR="00A968F7" w:rsidRPr="004E02B3">
        <w:rPr>
          <w:rFonts w:ascii="Times New Roman" w:hAnsi="Times New Roman" w:cs="Times New Roman"/>
          <w:sz w:val="24"/>
          <w:szCs w:val="24"/>
          <w:lang w:val="es-ES"/>
        </w:rPr>
        <w:t xml:space="preserve"> Time je očuvana potpuna sledljivost otpada, transport je minimiziran (uz nepotrebnu d</w:t>
      </w:r>
      <w:r w:rsidR="00E30C37" w:rsidRPr="004E02B3">
        <w:rPr>
          <w:rFonts w:ascii="Times New Roman" w:hAnsi="Times New Roman" w:cs="Times New Roman"/>
          <w:sz w:val="24"/>
          <w:szCs w:val="24"/>
          <w:lang w:val="es-ES"/>
        </w:rPr>
        <w:t xml:space="preserve">odatnu ambalažu) i postižu se </w:t>
      </w:r>
      <w:r w:rsidR="00A968F7" w:rsidRPr="004E02B3">
        <w:rPr>
          <w:rFonts w:ascii="Times New Roman" w:hAnsi="Times New Roman" w:cs="Times New Roman"/>
          <w:sz w:val="24"/>
          <w:szCs w:val="24"/>
          <w:lang w:val="es-ES"/>
        </w:rPr>
        <w:t>fi</w:t>
      </w:r>
      <w:r w:rsidR="00E30C37" w:rsidRPr="004E02B3">
        <w:rPr>
          <w:rFonts w:ascii="Times New Roman" w:hAnsi="Times New Roman" w:cs="Times New Roman"/>
          <w:sz w:val="24"/>
          <w:szCs w:val="24"/>
          <w:lang w:val="es-ES"/>
        </w:rPr>
        <w:t>nansijske uštede u kontinuitetu</w:t>
      </w:r>
      <w:r w:rsidRPr="004E02B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E725B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Primenjuje se princip sagregacije otpada na bazi vremena poluraspada. </w:t>
      </w:r>
    </w:p>
    <w:p w:rsidR="00E30C37" w:rsidRPr="00DE725B" w:rsidRDefault="00DE725B" w:rsidP="00A33A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lastRenderedPageBreak/>
        <w:t xml:space="preserve">         </w:t>
      </w:r>
      <w:r w:rsidR="001A1E6E" w:rsidRPr="004E02B3">
        <w:rPr>
          <w:rFonts w:ascii="Times New Roman" w:hAnsi="Times New Roman" w:cs="Times New Roman"/>
          <w:sz w:val="24"/>
          <w:szCs w:val="24"/>
          <w:lang w:val="sl-SI"/>
        </w:rPr>
        <w:t>Veći i kabastiji deo otpada (špricevi, tuferi, rukavice, papir) se prikuplja u odgovarajućim kantama, koje se zatim smeštaju u namenske specijalne kese (koje se pune najviše do 2/3 kapaciteta, nakon če</w:t>
      </w:r>
      <w:r w:rsidR="00A22543" w:rsidRPr="004E02B3">
        <w:rPr>
          <w:rFonts w:ascii="Times New Roman" w:hAnsi="Times New Roman" w:cs="Times New Roman"/>
          <w:sz w:val="24"/>
          <w:szCs w:val="24"/>
          <w:lang w:val="sl-SI"/>
        </w:rPr>
        <w:t>ga se vrhovi vezuju</w:t>
      </w:r>
      <w:r w:rsidR="001A1E6E" w:rsidRPr="004E02B3">
        <w:rPr>
          <w:rFonts w:ascii="Times New Roman" w:hAnsi="Times New Roman" w:cs="Times New Roman"/>
          <w:sz w:val="24"/>
          <w:szCs w:val="24"/>
          <w:lang w:val="sl-SI"/>
        </w:rPr>
        <w:t xml:space="preserve"> i držanjem za vrat kese se prenose). </w:t>
      </w:r>
      <w:r w:rsidR="00A22543" w:rsidRPr="004E02B3">
        <w:rPr>
          <w:rFonts w:ascii="Times New Roman" w:hAnsi="Times New Roman" w:cs="Times New Roman"/>
          <w:sz w:val="24"/>
          <w:szCs w:val="24"/>
          <w:lang w:val="sl-SI"/>
        </w:rPr>
        <w:t xml:space="preserve">Preko ove namenske kese se stavlja dodatna crna kesa, kako bi se obezbedila dodatna zaštita od izlivanja. </w:t>
      </w:r>
      <w:r w:rsidR="001A1E6E" w:rsidRPr="004E02B3">
        <w:rPr>
          <w:rFonts w:ascii="Times New Roman" w:hAnsi="Times New Roman" w:cs="Times New Roman"/>
          <w:sz w:val="24"/>
          <w:szCs w:val="24"/>
          <w:lang w:val="sl-SI"/>
        </w:rPr>
        <w:t>Za iskorišćene igle se koriste specijalni kontejneri koji</w:t>
      </w:r>
      <w:r w:rsidR="00A22543" w:rsidRPr="004E02B3">
        <w:rPr>
          <w:rFonts w:ascii="Times New Roman" w:hAnsi="Times New Roman" w:cs="Times New Roman"/>
          <w:sz w:val="24"/>
          <w:szCs w:val="24"/>
          <w:lang w:val="sl-SI"/>
        </w:rPr>
        <w:t xml:space="preserve"> su izrađeni od čvrste plasike </w:t>
      </w:r>
      <w:r w:rsidR="001A1E6E" w:rsidRPr="004E02B3">
        <w:rPr>
          <w:rFonts w:ascii="Times New Roman" w:hAnsi="Times New Roman" w:cs="Times New Roman"/>
          <w:sz w:val="24"/>
          <w:szCs w:val="24"/>
          <w:lang w:val="sl-SI"/>
        </w:rPr>
        <w:t xml:space="preserve">koji imaju „zube“ na otvoru (da bi se sprečilo da se iz kontejnera izbaci materijal) i liniju koja označava da su puni 3/4 kapaciteta. </w:t>
      </w:r>
      <w:r w:rsidR="00A22543" w:rsidRPr="004E02B3">
        <w:rPr>
          <w:rFonts w:ascii="Times New Roman" w:hAnsi="Times New Roman" w:cs="Times New Roman"/>
          <w:sz w:val="24"/>
          <w:szCs w:val="24"/>
          <w:lang w:val="sl-SI"/>
        </w:rPr>
        <w:t xml:space="preserve">Puni plastični kontejneri se takođe smeštaju u namenske specijalne kese, pa u crne kese. Svi propisani podaci moraju biti na odgovarajućoj nalepnici na crnoj spoljnoj kesi, koja se uklanja kada prođe propisan vremenski period i kad se izvrše kontrolna merenja (čime se, sa aspekta radijacione i nuklearne sigurnosti i bezbednosti, proces skladištenja završava), nakon čega se otpad dalje tretira kao infektivan. </w:t>
      </w:r>
    </w:p>
    <w:p w:rsidR="00DE725B" w:rsidRPr="004E02B3" w:rsidRDefault="00DE725B" w:rsidP="00A33A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DE725B" w:rsidRPr="004E02B3" w:rsidRDefault="00DE725B" w:rsidP="00DE725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</w:pPr>
      <w:r w:rsidRPr="004E02B3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         Na svakom odeljenju postoji imenovano lice koje je zaduženo za upravljanje radioaktivnim otpadom. </w:t>
      </w:r>
      <w:r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Otpad koji u procesu eluacije i pripreme radiofarmaceutika nastaje smešta se u namenski deo koji je sastavni deo prostora radiohemijskog laminarnog kabineta. Otpad iz sobe za aplikaciju se sakuplja u pripremljenu kantu za RAO, odnosno u jednokratne namenske žute kante za oštre predmete (iza paravana). Otpad koji nastaje tokom aplikacije i snimanja pacijenata na odeljenjima gde se primenjuju radiofarmaceutici na bazi </w:t>
      </w:r>
      <w:r w:rsidRPr="004E02B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99m</w:t>
      </w:r>
      <w:r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>Tc radionuklida sakuplja se u pripremljene kante za RAO na tim odeljenjima.</w:t>
      </w:r>
      <w:r w:rsidR="00E81F43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Otpad na bazi </w:t>
      </w:r>
      <w:r w:rsidR="00E81F43" w:rsidRPr="004E02B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111</w:t>
      </w:r>
      <w:r w:rsidR="00E81F43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In i </w:t>
      </w:r>
      <w:r w:rsidR="00E81F43" w:rsidRPr="004E02B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51</w:t>
      </w:r>
      <w:r w:rsidR="00E81F43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Cr se smešta iza namenskog olovnog paravana Odeljenja nuklearne neurologije i hematologije, gde se navedeni radionuklidi jedino koriste. </w:t>
      </w:r>
      <w:r w:rsidR="006E23FC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>Radiofarmaceutici obele</w:t>
      </w:r>
      <w:r w:rsidR="006E23F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ženi sa       </w:t>
      </w:r>
      <w:r w:rsidR="006E23FC" w:rsidRPr="004E02B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123</w:t>
      </w:r>
      <w:r w:rsidR="006E23FC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 </w:t>
      </w:r>
      <w:r w:rsidR="00517ABA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>se administriraju</w:t>
      </w:r>
      <w:r w:rsidR="006E23FC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u sobi za aplikaciju i sav otpad se tretira na isti način kao od radiofarmaceutika na bazi </w:t>
      </w:r>
      <w:r w:rsidR="006E23FC" w:rsidRPr="004E02B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99m</w:t>
      </w:r>
      <w:r w:rsidR="006E23FC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>Tc.</w:t>
      </w:r>
    </w:p>
    <w:p w:rsidR="00DE725B" w:rsidRPr="004E02B3" w:rsidRDefault="00DE725B" w:rsidP="00DE725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E725B" w:rsidRPr="004E02B3" w:rsidRDefault="00DE725B" w:rsidP="00FF6122">
      <w:pPr>
        <w:tabs>
          <w:tab w:val="left" w:pos="123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Medicinski fizičar određen za upravljanje radioaktivnog otpada na nivou Centra evidentira </w:t>
      </w:r>
      <w:r w:rsidRPr="004E02B3">
        <w:rPr>
          <w:rFonts w:ascii="Times New Roman" w:hAnsi="Times New Roman" w:cs="Times New Roman"/>
          <w:bCs/>
          <w:kern w:val="24"/>
          <w:sz w:val="24"/>
          <w:szCs w:val="24"/>
          <w:lang w:val="es-ES"/>
        </w:rPr>
        <w:t xml:space="preserve">radionuklid i aktivnost u trenutku kada daje nalog da se sakupljeni otpad skladišti u za to namenski </w:t>
      </w:r>
      <w:r w:rsidR="00FF6122" w:rsidRPr="004E02B3">
        <w:rPr>
          <w:rFonts w:ascii="Times New Roman" w:hAnsi="Times New Roman" w:cs="Times New Roman"/>
          <w:bCs/>
          <w:kern w:val="24"/>
          <w:sz w:val="24"/>
          <w:szCs w:val="24"/>
          <w:lang w:val="es-ES"/>
        </w:rPr>
        <w:t>pros</w:t>
      </w:r>
      <w:r w:rsidRPr="004E02B3">
        <w:rPr>
          <w:rFonts w:ascii="Times New Roman" w:hAnsi="Times New Roman" w:cs="Times New Roman"/>
          <w:bCs/>
          <w:kern w:val="24"/>
          <w:sz w:val="24"/>
          <w:szCs w:val="24"/>
          <w:lang w:val="es-ES"/>
        </w:rPr>
        <w:t>tor</w:t>
      </w:r>
      <w:r w:rsidR="00FF6122" w:rsidRPr="004E02B3">
        <w:rPr>
          <w:rFonts w:ascii="Times New Roman" w:hAnsi="Times New Roman" w:cs="Times New Roman"/>
          <w:bCs/>
          <w:kern w:val="24"/>
          <w:sz w:val="24"/>
          <w:szCs w:val="24"/>
          <w:lang w:val="es-ES"/>
        </w:rPr>
        <w:t xml:space="preserve"> – skladište za radioaktivni otpad Centra. Skladište </w:t>
      </w:r>
      <w:r w:rsidRPr="004E02B3">
        <w:rPr>
          <w:rFonts w:ascii="Times New Roman" w:hAnsi="Times New Roman" w:cs="Times New Roman"/>
          <w:bCs/>
          <w:kern w:val="24"/>
          <w:sz w:val="24"/>
          <w:szCs w:val="24"/>
          <w:lang w:val="es-ES"/>
        </w:rPr>
        <w:t>mora</w:t>
      </w:r>
      <w:r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FF6122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biti </w:t>
      </w:r>
      <w:r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>zaključan</w:t>
      </w:r>
      <w:r w:rsidR="00FF6122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pod nadzorom i da se u svakom smislu održava bezbednim (od vlage, štetočina itd.). Pristup skladištu je dozvoljen isključivo </w:t>
      </w:r>
      <w:r w:rsidR="00ED0120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uz nadzor medicinskih fizičara ili analitičara zaštite životne sredine. </w:t>
      </w:r>
    </w:p>
    <w:p w:rsidR="00FF6122" w:rsidRPr="004E02B3" w:rsidRDefault="00FF6122" w:rsidP="00FF6122">
      <w:pPr>
        <w:tabs>
          <w:tab w:val="left" w:pos="123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B466E1" w:rsidRDefault="00DE725B" w:rsidP="00FF6122">
      <w:pPr>
        <w:tabs>
          <w:tab w:val="left" w:pos="123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</w:t>
      </w:r>
      <w:r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Prethodno odlaganju, nakon 7-10 vremena poluraspada, medicinski fizičar </w:t>
      </w:r>
      <w:r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određen za </w:t>
      </w:r>
      <w:r w:rsidR="00FF6122"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upravljanje radioaktivnim otpadom </w:t>
      </w:r>
      <w:r w:rsidRPr="004E02B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na nivou Centra </w:t>
      </w:r>
      <w:r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vrši proveru da li je aktivnost spuštena na nivo fona, nakon čega se uklanjaju sve oznake za radioaktivnost i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spremačice ga odnose </w:t>
      </w:r>
      <w:r w:rsidR="00B466E1">
        <w:rPr>
          <w:rFonts w:ascii="Times New Roman" w:eastAsia="Times New Roman" w:hAnsi="Times New Roman" w:cs="Times New Roman"/>
          <w:sz w:val="24"/>
          <w:szCs w:val="24"/>
          <w:lang w:val="sl-SI"/>
        </w:rPr>
        <w:t>i smeštaju u kontejnere namenjene za infektivni otpad na nivou Poliklinike.</w:t>
      </w:r>
      <w:r w:rsidR="00ED0120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:rsidR="00FF6122" w:rsidRDefault="00FF6122" w:rsidP="00FF6122">
      <w:pPr>
        <w:tabs>
          <w:tab w:val="left" w:pos="123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E30C37" w:rsidRPr="004E02B3" w:rsidRDefault="00DE725B" w:rsidP="00FF6122">
      <w:pPr>
        <w:tabs>
          <w:tab w:val="left" w:pos="123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       </w:t>
      </w:r>
      <w:r w:rsidR="00A22543" w:rsidRPr="004E02B3">
        <w:rPr>
          <w:rFonts w:ascii="Times New Roman" w:hAnsi="Times New Roman" w:cs="Times New Roman"/>
          <w:sz w:val="24"/>
          <w:szCs w:val="24"/>
          <w:lang w:val="sl-SI"/>
        </w:rPr>
        <w:t xml:space="preserve">Merenja radioaktivnosti treba izvršiti i pri sakupljanju i pri svakom rukovanju, premeštanju radioaktivnog materijala, stavljanju u privremeno skladište, izvlačenju (ako za tim postoji potreba, odnosno kada se proceni da je radioaktivnost otpada zanemarljiva). Ciljevi koji se merenjem ostvaruju su: zaštita osoblja koje rukuje radioaktivnim materijalom, sprečavanje slučajnog širenja kontaminacije i (u rutinskom radu) obezbeđivanje nezavisne provere sistema za vođenje evidencije. </w:t>
      </w:r>
    </w:p>
    <w:p w:rsidR="00FF6122" w:rsidRPr="004E02B3" w:rsidRDefault="00FF6122" w:rsidP="00FF6122">
      <w:pPr>
        <w:tabs>
          <w:tab w:val="left" w:pos="123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4B6662" w:rsidRPr="006513DF" w:rsidRDefault="00B110B8" w:rsidP="00ED0120">
      <w:pPr>
        <w:tabs>
          <w:tab w:val="left" w:pos="123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E02B3">
        <w:rPr>
          <w:rFonts w:ascii="Times New Roman" w:hAnsi="Times New Roman" w:cs="Times New Roman"/>
          <w:sz w:val="24"/>
          <w:szCs w:val="24"/>
          <w:lang w:val="sl-SI"/>
        </w:rPr>
        <w:lastRenderedPageBreak/>
        <w:t xml:space="preserve">          </w:t>
      </w:r>
      <w:r w:rsidR="006E23FC">
        <w:rPr>
          <w:rFonts w:ascii="Times New Roman" w:eastAsia="Times New Roman" w:hAnsi="Times New Roman" w:cs="Times New Roman"/>
          <w:sz w:val="24"/>
          <w:szCs w:val="24"/>
          <w:lang w:val="sl-SI"/>
        </w:rPr>
        <w:t>Odgovorno lice za zaštitu od jonizujućih zračenja Kliničkog centra Srbije</w:t>
      </w:r>
      <w:r w:rsidR="006E23FC" w:rsidRPr="004E02B3">
        <w:rPr>
          <w:rFonts w:ascii="Times New Roman" w:hAnsi="Times New Roman" w:cs="Times New Roman"/>
          <w:sz w:val="24"/>
          <w:szCs w:val="24"/>
          <w:lang w:val="sl-SI"/>
        </w:rPr>
        <w:t xml:space="preserve"> nadzire i kontroliše proces upravljanja otpadom, kao i dostavlja </w:t>
      </w:r>
      <w:r w:rsidR="00A22543"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>Direktoratu za radijacionu i nuklearnu sigurnost i bezbednost Srbije</w:t>
      </w:r>
      <w:r w:rsidR="006E23F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>relevantne</w:t>
      </w:r>
      <w:r w:rsidR="00894217"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evidencione </w:t>
      </w:r>
      <w:r w:rsidR="00894217"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>poda</w:t>
      </w:r>
      <w:r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>tke</w:t>
      </w:r>
      <w:r w:rsidR="00DE725B"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>,</w:t>
      </w:r>
      <w:r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="00894217"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>u vremenskim intevalima i na način kakav je propisa</w:t>
      </w:r>
      <w:r w:rsidRPr="00DE725B">
        <w:rPr>
          <w:rFonts w:ascii="Times New Roman" w:eastAsia="Times New Roman" w:hAnsi="Times New Roman" w:cs="Times New Roman"/>
          <w:sz w:val="24"/>
          <w:szCs w:val="24"/>
          <w:lang w:val="sl-SI"/>
        </w:rPr>
        <w:t>n zakonskom regulativom</w:t>
      </w:r>
      <w:r w:rsidR="00B466E1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. </w:t>
      </w:r>
    </w:p>
    <w:p w:rsidR="00ED0120" w:rsidRDefault="00ED0120" w:rsidP="000F7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ED0120" w:rsidRDefault="00ED0120" w:rsidP="000F7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4E5FEF" w:rsidRPr="00E81F43" w:rsidRDefault="004B6988" w:rsidP="000F7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E81F43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EVIDENCIJA/ZAPISI</w:t>
      </w:r>
      <w:r w:rsidR="00CC1E52" w:rsidRPr="00E81F43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</w:p>
    <w:p w:rsidR="00810A6B" w:rsidRPr="00E81F43" w:rsidRDefault="00810A6B" w:rsidP="000F7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E81F43" w:rsidRPr="00E81F43" w:rsidRDefault="00E81F43" w:rsidP="000F75A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81F43">
        <w:rPr>
          <w:rFonts w:ascii="Times New Roman" w:hAnsi="Times New Roman" w:cs="Times New Roman"/>
          <w:sz w:val="24"/>
          <w:szCs w:val="24"/>
          <w:lang w:val="sr-Latn-CS"/>
        </w:rPr>
        <w:t>Evedencija skladištenja i iznošenja radioaktivnog otpada</w:t>
      </w:r>
    </w:p>
    <w:p w:rsidR="0017161C" w:rsidRPr="00620EBF" w:rsidRDefault="0017161C" w:rsidP="000F7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F21A3" w:rsidRDefault="00CF21A3" w:rsidP="000F75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D0120" w:rsidRPr="00620EBF" w:rsidRDefault="00ED0120" w:rsidP="000F75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Pr="00B466E1" w:rsidRDefault="004E5FEF" w:rsidP="000F75AC">
      <w:pPr>
        <w:pStyle w:val="NoSpacing"/>
        <w:spacing w:after="120"/>
        <w:rPr>
          <w:rFonts w:ascii="Times New Roman" w:hAnsi="Times New Roman"/>
          <w:b/>
          <w:bCs/>
          <w:u w:val="single"/>
        </w:rPr>
      </w:pPr>
      <w:r w:rsidRPr="00B466E1">
        <w:rPr>
          <w:rFonts w:ascii="Times New Roman" w:hAnsi="Times New Roman"/>
          <w:b/>
          <w:bCs/>
          <w:u w:val="single"/>
        </w:rPr>
        <w:t>ODGOVORNOST:</w:t>
      </w:r>
    </w:p>
    <w:p w:rsidR="00DD0C9C" w:rsidRPr="00B466E1" w:rsidRDefault="00DD0C9C" w:rsidP="000F75AC">
      <w:pPr>
        <w:pStyle w:val="NoSpacing"/>
        <w:spacing w:after="120"/>
        <w:rPr>
          <w:rFonts w:ascii="Times New Roman" w:hAnsi="Times New Roman"/>
          <w:b/>
          <w:bCs/>
          <w:u w:val="single"/>
        </w:rPr>
      </w:pPr>
    </w:p>
    <w:p w:rsidR="00DD0C9C" w:rsidRPr="00B466E1" w:rsidRDefault="0025649A" w:rsidP="000F75AC">
      <w:pPr>
        <w:spacing w:after="0"/>
        <w:ind w:right="-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466E1">
        <w:rPr>
          <w:rFonts w:ascii="Times New Roman" w:hAnsi="Times New Roman" w:cs="Times New Roman"/>
          <w:sz w:val="24"/>
          <w:szCs w:val="24"/>
          <w:lang w:val="sr-Latn-CS"/>
        </w:rPr>
        <w:t>Za sprovodjenje ove procedure odgovorni</w:t>
      </w:r>
      <w:r w:rsidR="00ED0120">
        <w:rPr>
          <w:rFonts w:ascii="Times New Roman" w:hAnsi="Times New Roman" w:cs="Times New Roman"/>
          <w:sz w:val="24"/>
          <w:szCs w:val="24"/>
          <w:lang w:val="sr-Latn-CS"/>
        </w:rPr>
        <w:t xml:space="preserve"> su medicinski fizičari i analitičar zaštite životne sredine. </w:t>
      </w:r>
    </w:p>
    <w:p w:rsidR="004B6662" w:rsidRDefault="004B6662" w:rsidP="000F75AC">
      <w:pPr>
        <w:spacing w:after="80"/>
        <w:ind w:right="-90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sr-Latn-CS"/>
        </w:rPr>
      </w:pPr>
    </w:p>
    <w:p w:rsidR="00ED0120" w:rsidRPr="00B466E1" w:rsidRDefault="00ED0120" w:rsidP="000F75AC">
      <w:pPr>
        <w:spacing w:after="80"/>
        <w:ind w:right="-90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sr-Latn-CS"/>
        </w:rPr>
      </w:pPr>
    </w:p>
    <w:p w:rsidR="004E5FEF" w:rsidRPr="00B466E1" w:rsidRDefault="004B6662" w:rsidP="000F75AC">
      <w:pPr>
        <w:spacing w:after="80"/>
        <w:ind w:right="-90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B466E1">
        <w:rPr>
          <w:rFonts w:ascii="Times New Roman" w:hAnsi="Times New Roman" w:cs="Times New Roman"/>
          <w:b/>
          <w:bCs/>
          <w:sz w:val="28"/>
          <w:szCs w:val="28"/>
          <w:u w:val="single"/>
          <w:lang w:val="sr-Latn-CS"/>
        </w:rPr>
        <w:t>PRILOZI</w:t>
      </w:r>
      <w:r w:rsidR="004E5FEF" w:rsidRPr="00B466E1">
        <w:rPr>
          <w:rFonts w:ascii="Times New Roman" w:hAnsi="Times New Roman" w:cs="Times New Roman"/>
          <w:b/>
          <w:bCs/>
          <w:sz w:val="28"/>
          <w:szCs w:val="28"/>
          <w:u w:val="single"/>
          <w:lang w:val="sr-Latn-CS"/>
        </w:rPr>
        <w:t>:</w:t>
      </w:r>
      <w:r w:rsidR="004E5FEF" w:rsidRPr="00B466E1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197B3C" w:rsidRPr="00B466E1">
        <w:rPr>
          <w:rFonts w:ascii="Times New Roman" w:hAnsi="Times New Roman" w:cs="Times New Roman"/>
          <w:sz w:val="28"/>
          <w:szCs w:val="28"/>
          <w:lang w:val="sr-Latn-CS"/>
        </w:rPr>
        <w:br/>
      </w:r>
    </w:p>
    <w:p w:rsidR="00A81AFA" w:rsidRPr="00B466E1" w:rsidRDefault="00CF21A3" w:rsidP="00C42C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66E1">
        <w:rPr>
          <w:rFonts w:ascii="Times New Roman" w:hAnsi="Times New Roman" w:cs="Times New Roman"/>
          <w:sz w:val="24"/>
          <w:szCs w:val="24"/>
          <w:lang w:val="sr-Latn-CS"/>
        </w:rPr>
        <w:t>Zakon o radijacionoj i nuklearnoj sigurnosti i bezbednosti (Sl. gl. RS br. 95/18)</w:t>
      </w:r>
    </w:p>
    <w:p w:rsidR="00C20F49" w:rsidRPr="00B466E1" w:rsidRDefault="00C20F49" w:rsidP="00C20F4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466E1">
        <w:rPr>
          <w:rFonts w:ascii="Times New Roman" w:hAnsi="Times New Roman" w:cs="Times New Roman"/>
          <w:sz w:val="24"/>
          <w:szCs w:val="24"/>
          <w:lang w:val="sr-Latn-CS"/>
        </w:rPr>
        <w:t>Pravilnik o upravljanju radioaktivnim otpadom (Sl. gl. RS 60/11)</w:t>
      </w:r>
    </w:p>
    <w:p w:rsidR="00C20F49" w:rsidRPr="00B466E1" w:rsidRDefault="00C20F49" w:rsidP="00C20F4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466E1">
        <w:rPr>
          <w:rFonts w:ascii="Times New Roman" w:hAnsi="Times New Roman" w:cs="Times New Roman"/>
          <w:sz w:val="24"/>
          <w:szCs w:val="24"/>
          <w:lang w:val="sr-Latn-CS"/>
        </w:rPr>
        <w:t>Pravilnik o uslovima za dobijanje licence za obavljanje radijacione delatnosti (Sl. gl. RS 61/11, 101/16 i 50/18)</w:t>
      </w:r>
    </w:p>
    <w:p w:rsidR="00ED5C6A" w:rsidRPr="00B466E1" w:rsidRDefault="00ED5C6A" w:rsidP="00C42C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66E1">
        <w:rPr>
          <w:rFonts w:ascii="Times New Roman" w:hAnsi="Times New Roman" w:cs="Times New Roman"/>
          <w:sz w:val="24"/>
          <w:szCs w:val="24"/>
          <w:lang w:val="sr-Latn-CS"/>
        </w:rPr>
        <w:t>Pravilnik o granicama radioaktivne kontaminacije lica, radne i životne sredine i načina sprovođenja dekontaminacije (Sl. gl. RS br. 38/11)</w:t>
      </w:r>
    </w:p>
    <w:p w:rsidR="00ED5C6A" w:rsidRPr="00B466E1" w:rsidRDefault="00ED5C6A" w:rsidP="00C42C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66E1">
        <w:rPr>
          <w:rFonts w:ascii="Times New Roman" w:hAnsi="Times New Roman" w:cs="Times New Roman"/>
          <w:sz w:val="24"/>
          <w:szCs w:val="24"/>
          <w:lang w:val="it-IT"/>
        </w:rPr>
        <w:t>Pravilnik o evidenciji o izvorima jonizujućih zračenja, profesionalno izloženim licima, o izloženosti pacijenata jonizujućim zračenjima i o radioaktivnom otpadu (</w:t>
      </w:r>
      <w:r w:rsidRPr="00B466E1">
        <w:rPr>
          <w:rFonts w:ascii="Times New Roman" w:hAnsi="Times New Roman" w:cs="Times New Roman"/>
          <w:sz w:val="24"/>
          <w:szCs w:val="24"/>
          <w:lang w:val="sr-Latn-CS"/>
        </w:rPr>
        <w:t>Sl. gl. RS br. 97/11)</w:t>
      </w:r>
    </w:p>
    <w:p w:rsidR="00ED5C6A" w:rsidRPr="00B466E1" w:rsidRDefault="00ED5C6A" w:rsidP="00C42C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66E1">
        <w:rPr>
          <w:rFonts w:ascii="Times New Roman" w:hAnsi="Times New Roman" w:cs="Times New Roman"/>
          <w:sz w:val="24"/>
          <w:szCs w:val="24"/>
          <w:lang w:val="it-IT"/>
        </w:rPr>
        <w:t>Pravilnik o granicama izlaganja i merenjima radi procene nivoa izlaganja jonizujućim zračenjima (</w:t>
      </w:r>
      <w:r w:rsidRPr="00B466E1">
        <w:rPr>
          <w:rFonts w:ascii="Times New Roman" w:hAnsi="Times New Roman" w:cs="Times New Roman"/>
          <w:sz w:val="24"/>
          <w:szCs w:val="24"/>
          <w:lang w:val="sr-Latn-CS"/>
        </w:rPr>
        <w:t>Sl. gl. RS br. 86/11 i 50/18)</w:t>
      </w:r>
    </w:p>
    <w:p w:rsidR="00C20F49" w:rsidRPr="00B466E1" w:rsidRDefault="00C20F49" w:rsidP="00C2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0F49" w:rsidRPr="00B466E1" w:rsidRDefault="00C20F49" w:rsidP="00C2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F21A3" w:rsidRPr="00620EBF" w:rsidRDefault="00CF21A3" w:rsidP="00CF2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88A" w:rsidRPr="00620EBF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E5FEF" w:rsidRPr="00620EBF" w:rsidRDefault="00FF188A" w:rsidP="008E2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620EB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LISTA DISTRIBUCIJA</w:t>
      </w:r>
    </w:p>
    <w:p w:rsidR="008E2AB8" w:rsidRPr="00620EBF" w:rsidRDefault="008E2AB8" w:rsidP="008E2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FF188A" w:rsidRPr="00620EBF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20EBF">
        <w:rPr>
          <w:rFonts w:ascii="Times New Roman" w:hAnsi="Times New Roman" w:cs="Times New Roman"/>
          <w:sz w:val="24"/>
          <w:szCs w:val="24"/>
          <w:lang w:val="sr-Latn-CS"/>
        </w:rPr>
        <w:t>Naziv dokumenta: ____________________________________________________________</w:t>
      </w:r>
    </w:p>
    <w:p w:rsidR="004E5FEF" w:rsidRPr="00620EBF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20EBF">
        <w:rPr>
          <w:rFonts w:ascii="Times New Roman" w:hAnsi="Times New Roman" w:cs="Times New Roman"/>
          <w:sz w:val="24"/>
          <w:szCs w:val="24"/>
          <w:lang w:val="sr-Latn-CS"/>
        </w:rPr>
        <w:t>Datum: ______________  godine</w:t>
      </w:r>
      <w:bookmarkStart w:id="0" w:name="_GoBack"/>
      <w:bookmarkEnd w:id="0"/>
    </w:p>
    <w:sectPr w:rsidR="004E5FEF" w:rsidRPr="00620EBF" w:rsidSect="00023597">
      <w:headerReference w:type="default" r:id="rId8"/>
      <w:headerReference w:type="first" r:id="rId9"/>
      <w:pgSz w:w="11907" w:h="16839" w:code="9"/>
      <w:pgMar w:top="1440" w:right="1440" w:bottom="1440" w:left="1440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E4" w:rsidRDefault="003C19E4" w:rsidP="004765A0">
      <w:pPr>
        <w:spacing w:after="0" w:line="240" w:lineRule="auto"/>
      </w:pPr>
      <w:r>
        <w:separator/>
      </w:r>
    </w:p>
  </w:endnote>
  <w:endnote w:type="continuationSeparator" w:id="0">
    <w:p w:rsidR="003C19E4" w:rsidRDefault="003C19E4" w:rsidP="004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E4" w:rsidRDefault="003C19E4" w:rsidP="004765A0">
      <w:pPr>
        <w:spacing w:after="0" w:line="240" w:lineRule="auto"/>
      </w:pPr>
      <w:r>
        <w:separator/>
      </w:r>
    </w:p>
  </w:footnote>
  <w:footnote w:type="continuationSeparator" w:id="0">
    <w:p w:rsidR="003C19E4" w:rsidRDefault="003C19E4" w:rsidP="0047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871"/>
      <w:gridCol w:w="5655"/>
      <w:gridCol w:w="804"/>
      <w:gridCol w:w="1321"/>
    </w:tblGrid>
    <w:tr w:rsidR="004E5FEF" w:rsidRPr="00D6579E">
      <w:trPr>
        <w:trHeight w:val="563"/>
        <w:jc w:val="center"/>
      </w:trPr>
      <w:tc>
        <w:tcPr>
          <w:tcW w:w="1871" w:type="dxa"/>
          <w:vMerge w:val="restart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 w:val="restart"/>
          <w:vAlign w:val="center"/>
        </w:tcPr>
        <w:p w:rsidR="004E5FEF" w:rsidRPr="008953A8" w:rsidRDefault="008953A8" w:rsidP="00B02B30">
          <w:pPr>
            <w:pStyle w:val="Header"/>
            <w:jc w:val="center"/>
            <w:rPr>
              <w:rFonts w:ascii="Times New Roman" w:hAnsi="Times New Roman" w:cs="Times New Roman"/>
              <w:sz w:val="28"/>
              <w:szCs w:val="28"/>
              <w:lang w:val="it-IT"/>
            </w:rPr>
          </w:pPr>
          <w:r w:rsidRPr="008953A8">
            <w:rPr>
              <w:rFonts w:ascii="Times New Roman" w:hAnsi="Times New Roman" w:cs="Times New Roman"/>
              <w:b/>
              <w:sz w:val="28"/>
              <w:szCs w:val="28"/>
              <w:lang w:val="it-IT"/>
            </w:rPr>
            <w:t>PROCEDURA ZA UPRAVLJANJE RADIOAKTIVNIM OTPADOM</w:t>
          </w:r>
        </w:p>
      </w:tc>
      <w:tc>
        <w:tcPr>
          <w:tcW w:w="804" w:type="dxa"/>
          <w:vAlign w:val="center"/>
        </w:tcPr>
        <w:p w:rsidR="004E5FEF" w:rsidRPr="007B1DE4" w:rsidRDefault="004E5FEF" w:rsidP="00D6579E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1DE4">
            <w:rPr>
              <w:rFonts w:ascii="Times New Roman" w:hAnsi="Times New Roman" w:cs="Times New Roman"/>
              <w:sz w:val="24"/>
              <w:szCs w:val="24"/>
            </w:rPr>
            <w:t>Broj:</w:t>
          </w:r>
        </w:p>
      </w:tc>
      <w:tc>
        <w:tcPr>
          <w:tcW w:w="1321" w:type="dxa"/>
          <w:vAlign w:val="center"/>
        </w:tcPr>
        <w:p w:rsidR="004E5FEF" w:rsidRPr="007B1DE4" w:rsidRDefault="008E2AB8" w:rsidP="00D6579E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</w:tr>
    <w:tr w:rsidR="004E5FEF" w:rsidRPr="00D6579E">
      <w:trPr>
        <w:trHeight w:val="27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7B1DE4" w:rsidRDefault="004E5FEF" w:rsidP="0025649A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7B1DE4">
            <w:rPr>
              <w:rFonts w:ascii="Times New Roman" w:hAnsi="Times New Roman" w:cs="Times New Roman"/>
              <w:sz w:val="24"/>
              <w:szCs w:val="24"/>
            </w:rPr>
            <w:t>Datum:</w:t>
          </w:r>
        </w:p>
      </w:tc>
    </w:tr>
    <w:tr w:rsidR="004E5FEF" w:rsidRPr="00D6579E">
      <w:trPr>
        <w:trHeight w:val="19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7B1DE4" w:rsidRDefault="004E5FEF" w:rsidP="0025649A">
          <w:pPr>
            <w:spacing w:after="0" w:line="240" w:lineRule="auto"/>
            <w:rPr>
              <w:rFonts w:ascii="Times New Roman" w:hAnsi="Times New Roman" w:cs="Times New Roman"/>
            </w:rPr>
          </w:pPr>
          <w:r w:rsidRPr="007B1DE4">
            <w:rPr>
              <w:rFonts w:ascii="Times New Roman" w:hAnsi="Times New Roman" w:cs="Times New Roman"/>
              <w:sz w:val="24"/>
              <w:szCs w:val="24"/>
            </w:rPr>
            <w:t xml:space="preserve">Strana: </w:t>
          </w:r>
          <w:r w:rsidRPr="007B1DE4">
            <w:rPr>
              <w:rFonts w:ascii="Times New Roman" w:hAnsi="Times New Roman" w:cs="Times New Roman"/>
            </w:rPr>
            <w:t xml:space="preserve"> </w:t>
          </w:r>
          <w:r w:rsidR="00EF6ACA" w:rsidRPr="007B1DE4">
            <w:rPr>
              <w:rFonts w:ascii="Times New Roman" w:hAnsi="Times New Roman" w:cs="Times New Roman"/>
            </w:rPr>
            <w:fldChar w:fldCharType="begin"/>
          </w:r>
          <w:r w:rsidR="00EF6ACA" w:rsidRPr="007B1DE4">
            <w:rPr>
              <w:rFonts w:ascii="Times New Roman" w:hAnsi="Times New Roman" w:cs="Times New Roman"/>
            </w:rPr>
            <w:instrText xml:space="preserve"> PAGE </w:instrText>
          </w:r>
          <w:r w:rsidR="00EF6ACA" w:rsidRPr="007B1DE4">
            <w:rPr>
              <w:rFonts w:ascii="Times New Roman" w:hAnsi="Times New Roman" w:cs="Times New Roman"/>
            </w:rPr>
            <w:fldChar w:fldCharType="separate"/>
          </w:r>
          <w:r w:rsidR="00B96535">
            <w:rPr>
              <w:rFonts w:ascii="Times New Roman" w:hAnsi="Times New Roman" w:cs="Times New Roman"/>
              <w:noProof/>
            </w:rPr>
            <w:t>3</w:t>
          </w:r>
          <w:r w:rsidR="00EF6ACA" w:rsidRPr="007B1DE4">
            <w:rPr>
              <w:rFonts w:ascii="Times New Roman" w:hAnsi="Times New Roman" w:cs="Times New Roman"/>
              <w:noProof/>
            </w:rPr>
            <w:fldChar w:fldCharType="end"/>
          </w:r>
          <w:r w:rsidRPr="007B1DE4">
            <w:rPr>
              <w:rFonts w:ascii="Times New Roman" w:hAnsi="Times New Roman" w:cs="Times New Roman"/>
            </w:rPr>
            <w:t>/</w:t>
          </w:r>
          <w:r w:rsidR="004930D6" w:rsidRPr="007B1DE4">
            <w:rPr>
              <w:rFonts w:ascii="Times New Roman" w:hAnsi="Times New Roman" w:cs="Times New Roman"/>
            </w:rPr>
            <w:fldChar w:fldCharType="begin"/>
          </w:r>
          <w:r w:rsidR="004930D6" w:rsidRPr="007B1DE4">
            <w:rPr>
              <w:rFonts w:ascii="Times New Roman" w:hAnsi="Times New Roman" w:cs="Times New Roman"/>
            </w:rPr>
            <w:instrText xml:space="preserve"> NUMPAGES  </w:instrText>
          </w:r>
          <w:r w:rsidR="004930D6" w:rsidRPr="007B1DE4">
            <w:rPr>
              <w:rFonts w:ascii="Times New Roman" w:hAnsi="Times New Roman" w:cs="Times New Roman"/>
            </w:rPr>
            <w:fldChar w:fldCharType="separate"/>
          </w:r>
          <w:r w:rsidR="00B96535">
            <w:rPr>
              <w:rFonts w:ascii="Times New Roman" w:hAnsi="Times New Roman" w:cs="Times New Roman"/>
              <w:noProof/>
            </w:rPr>
            <w:t>4</w:t>
          </w:r>
          <w:r w:rsidR="004930D6" w:rsidRPr="007B1DE4">
            <w:rPr>
              <w:rFonts w:ascii="Times New Roman" w:hAnsi="Times New Roman" w:cs="Times New Roman"/>
              <w:noProof/>
            </w:rPr>
            <w:fldChar w:fldCharType="end"/>
          </w:r>
        </w:p>
      </w:tc>
    </w:tr>
  </w:tbl>
  <w:p w:rsidR="004E5FEF" w:rsidRDefault="004E5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9A" w:rsidRDefault="0025649A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rPr>
        <w:b/>
        <w:noProof/>
        <w:sz w:val="16"/>
        <w:szCs w:val="16"/>
        <w:lang w:val="sr-Latn-RS" w:eastAsia="sr-Latn-RS"/>
      </w:rPr>
    </w:pPr>
    <w:r>
      <w:tab/>
    </w:r>
    <w:r w:rsidR="00BE5F5E">
      <w:rPr>
        <w:b/>
        <w:noProof/>
        <w:sz w:val="16"/>
        <w:szCs w:val="16"/>
      </w:rPr>
      <w:drawing>
        <wp:inline distT="0" distB="0" distL="0" distR="0">
          <wp:extent cx="733425" cy="733425"/>
          <wp:effectExtent l="0" t="0" r="9525" b="9525"/>
          <wp:docPr id="1" name="Picture 1" descr="KC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49A" w:rsidRPr="007B1DE4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ES"/>
      </w:rPr>
    </w:pPr>
    <w:r w:rsidRPr="007B1DE4">
      <w:rPr>
        <w:rFonts w:ascii="Times New Roman" w:eastAsia="Times New Roman" w:hAnsi="Times New Roman" w:cs="Times New Roman"/>
        <w:sz w:val="18"/>
        <w:szCs w:val="18"/>
        <w:lang w:val="es-ES"/>
      </w:rPr>
      <w:t>Centar za nuklearnu medicinu,</w:t>
    </w:r>
  </w:p>
  <w:p w:rsidR="0025649A" w:rsidRPr="007B1DE4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sr-Latn-RS"/>
      </w:rPr>
    </w:pPr>
    <w:r w:rsidRPr="007B1DE4">
      <w:rPr>
        <w:rFonts w:ascii="Times New Roman" w:eastAsia="Times New Roman" w:hAnsi="Times New Roman" w:cs="Times New Roman"/>
        <w:sz w:val="18"/>
        <w:szCs w:val="18"/>
        <w:lang w:val="es-ES"/>
      </w:rPr>
      <w:t>Klini</w:t>
    </w:r>
    <w:r w:rsidRPr="007B1DE4">
      <w:rPr>
        <w:rFonts w:ascii="Times New Roman" w:eastAsia="Times New Roman" w:hAnsi="Times New Roman" w:cs="Times New Roman"/>
        <w:sz w:val="18"/>
        <w:szCs w:val="18"/>
        <w:lang w:val="sr-Latn-RS"/>
      </w:rPr>
      <w:t>čki centar Srbije</w:t>
    </w:r>
  </w:p>
  <w:p w:rsidR="0025649A" w:rsidRPr="007B1DE4" w:rsidRDefault="00D76FF2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Viš</w:t>
    </w:r>
    <w:r w:rsidR="0025649A" w:rsidRPr="007B1DE4">
      <w:rPr>
        <w:rFonts w:ascii="Times New Roman" w:eastAsia="Times New Roman" w:hAnsi="Times New Roman" w:cs="Times New Roman"/>
        <w:sz w:val="18"/>
        <w:szCs w:val="18"/>
      </w:rPr>
      <w:t>egradska 26, 11000 B</w:t>
    </w:r>
    <w:r w:rsidR="009B5553">
      <w:rPr>
        <w:rFonts w:ascii="Times New Roman" w:eastAsia="Times New Roman" w:hAnsi="Times New Roman" w:cs="Times New Roman"/>
        <w:sz w:val="18"/>
        <w:szCs w:val="18"/>
      </w:rPr>
      <w:t>e</w:t>
    </w:r>
    <w:r w:rsidR="0025649A" w:rsidRPr="007B1DE4">
      <w:rPr>
        <w:rFonts w:ascii="Times New Roman" w:eastAsia="Times New Roman" w:hAnsi="Times New Roman" w:cs="Times New Roman"/>
        <w:sz w:val="18"/>
        <w:szCs w:val="18"/>
      </w:rPr>
      <w:t>ograd, Srbija</w:t>
    </w:r>
  </w:p>
  <w:p w:rsidR="0025649A" w:rsidRPr="007B1DE4" w:rsidRDefault="0025649A" w:rsidP="0025649A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7B1DE4">
      <w:rPr>
        <w:rFonts w:ascii="Times New Roman" w:hAnsi="Times New Roman" w:cs="Times New Roman"/>
        <w:sz w:val="18"/>
        <w:szCs w:val="18"/>
      </w:rPr>
      <w:t>Tel/fax +381113615641; +381113663354</w:t>
    </w:r>
  </w:p>
  <w:p w:rsidR="0025649A" w:rsidRPr="007B1DE4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B1DE4">
      <w:rPr>
        <w:rFonts w:ascii="Times New Roman" w:hAnsi="Times New Roman" w:cs="Times New Roman"/>
        <w:sz w:val="18"/>
        <w:szCs w:val="18"/>
      </w:rPr>
      <w:t>e-mail:</w:t>
    </w:r>
  </w:p>
  <w:p w:rsidR="004E5FEF" w:rsidRPr="0025649A" w:rsidRDefault="004E5FEF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ABC"/>
    <w:multiLevelType w:val="hybridMultilevel"/>
    <w:tmpl w:val="F740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A8A"/>
    <w:multiLevelType w:val="hybridMultilevel"/>
    <w:tmpl w:val="A54858E8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B1274"/>
    <w:multiLevelType w:val="hybridMultilevel"/>
    <w:tmpl w:val="BAC25B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4F3A"/>
    <w:multiLevelType w:val="hybridMultilevel"/>
    <w:tmpl w:val="52308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4DEF"/>
    <w:multiLevelType w:val="hybridMultilevel"/>
    <w:tmpl w:val="240AE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264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80E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A7B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A30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C62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0BC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676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A88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5D6A"/>
    <w:multiLevelType w:val="hybridMultilevel"/>
    <w:tmpl w:val="B8AAC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2F594B"/>
    <w:multiLevelType w:val="hybridMultilevel"/>
    <w:tmpl w:val="B55E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8343A"/>
    <w:multiLevelType w:val="hybridMultilevel"/>
    <w:tmpl w:val="BD10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D1535"/>
    <w:multiLevelType w:val="hybridMultilevel"/>
    <w:tmpl w:val="22F0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012D"/>
    <w:multiLevelType w:val="hybridMultilevel"/>
    <w:tmpl w:val="8924B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941D14"/>
    <w:multiLevelType w:val="hybridMultilevel"/>
    <w:tmpl w:val="943C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62B93"/>
    <w:multiLevelType w:val="hybridMultilevel"/>
    <w:tmpl w:val="D262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0582"/>
    <w:multiLevelType w:val="hybridMultilevel"/>
    <w:tmpl w:val="0EA4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E5FD1"/>
    <w:multiLevelType w:val="hybridMultilevel"/>
    <w:tmpl w:val="5AAAC470"/>
    <w:lvl w:ilvl="0" w:tplc="928458C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4A2B89"/>
    <w:multiLevelType w:val="hybridMultilevel"/>
    <w:tmpl w:val="D40C72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25F8"/>
    <w:multiLevelType w:val="multilevel"/>
    <w:tmpl w:val="A2B216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2951B1"/>
    <w:multiLevelType w:val="hybridMultilevel"/>
    <w:tmpl w:val="EB66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F058E"/>
    <w:multiLevelType w:val="hybridMultilevel"/>
    <w:tmpl w:val="1B6E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42723"/>
    <w:multiLevelType w:val="hybridMultilevel"/>
    <w:tmpl w:val="3552F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3501F9"/>
    <w:multiLevelType w:val="hybridMultilevel"/>
    <w:tmpl w:val="CC4E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3146A"/>
    <w:multiLevelType w:val="hybridMultilevel"/>
    <w:tmpl w:val="C05E7EA2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264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80E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A7B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A30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C62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0BC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676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A88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31A7D"/>
    <w:multiLevelType w:val="hybridMultilevel"/>
    <w:tmpl w:val="D4AEA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D538D"/>
    <w:multiLevelType w:val="hybridMultilevel"/>
    <w:tmpl w:val="436A8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F6FB6"/>
    <w:multiLevelType w:val="hybridMultilevel"/>
    <w:tmpl w:val="90245CC2"/>
    <w:lvl w:ilvl="0" w:tplc="C6844A4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6594E"/>
    <w:multiLevelType w:val="hybridMultilevel"/>
    <w:tmpl w:val="8D06BCB2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C8B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6C1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79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AB6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A1D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8D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03F4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047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A339A"/>
    <w:multiLevelType w:val="hybridMultilevel"/>
    <w:tmpl w:val="926E2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651079"/>
    <w:multiLevelType w:val="hybridMultilevel"/>
    <w:tmpl w:val="28D6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24EAE"/>
    <w:multiLevelType w:val="hybridMultilevel"/>
    <w:tmpl w:val="4EA205A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7"/>
  </w:num>
  <w:num w:numId="5">
    <w:abstractNumId w:val="26"/>
  </w:num>
  <w:num w:numId="6">
    <w:abstractNumId w:val="17"/>
  </w:num>
  <w:num w:numId="7">
    <w:abstractNumId w:val="2"/>
  </w:num>
  <w:num w:numId="8">
    <w:abstractNumId w:val="13"/>
  </w:num>
  <w:num w:numId="9">
    <w:abstractNumId w:val="25"/>
  </w:num>
  <w:num w:numId="10">
    <w:abstractNumId w:val="18"/>
  </w:num>
  <w:num w:numId="11">
    <w:abstractNumId w:val="9"/>
  </w:num>
  <w:num w:numId="12">
    <w:abstractNumId w:val="15"/>
  </w:num>
  <w:num w:numId="13">
    <w:abstractNumId w:val="5"/>
  </w:num>
  <w:num w:numId="14">
    <w:abstractNumId w:val="1"/>
  </w:num>
  <w:num w:numId="15">
    <w:abstractNumId w:val="8"/>
  </w:num>
  <w:num w:numId="16">
    <w:abstractNumId w:val="23"/>
  </w:num>
  <w:num w:numId="17">
    <w:abstractNumId w:val="21"/>
  </w:num>
  <w:num w:numId="18">
    <w:abstractNumId w:val="11"/>
  </w:num>
  <w:num w:numId="19">
    <w:abstractNumId w:val="14"/>
  </w:num>
  <w:num w:numId="20">
    <w:abstractNumId w:val="12"/>
  </w:num>
  <w:num w:numId="21">
    <w:abstractNumId w:val="24"/>
  </w:num>
  <w:num w:numId="22">
    <w:abstractNumId w:val="6"/>
  </w:num>
  <w:num w:numId="23">
    <w:abstractNumId w:val="20"/>
  </w:num>
  <w:num w:numId="24">
    <w:abstractNumId w:val="4"/>
  </w:num>
  <w:num w:numId="25">
    <w:abstractNumId w:val="19"/>
  </w:num>
  <w:num w:numId="26">
    <w:abstractNumId w:val="27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17"/>
    <w:rsid w:val="00007A17"/>
    <w:rsid w:val="000117AE"/>
    <w:rsid w:val="000130F9"/>
    <w:rsid w:val="00023597"/>
    <w:rsid w:val="00027199"/>
    <w:rsid w:val="00032B6D"/>
    <w:rsid w:val="000423A1"/>
    <w:rsid w:val="00042E78"/>
    <w:rsid w:val="0006221D"/>
    <w:rsid w:val="00066253"/>
    <w:rsid w:val="0006794F"/>
    <w:rsid w:val="00090275"/>
    <w:rsid w:val="000C6385"/>
    <w:rsid w:val="000F75AC"/>
    <w:rsid w:val="0011201D"/>
    <w:rsid w:val="0013425B"/>
    <w:rsid w:val="00135850"/>
    <w:rsid w:val="0014701A"/>
    <w:rsid w:val="00150B87"/>
    <w:rsid w:val="0015493F"/>
    <w:rsid w:val="00156530"/>
    <w:rsid w:val="00165E3B"/>
    <w:rsid w:val="0017161C"/>
    <w:rsid w:val="00197B3C"/>
    <w:rsid w:val="001A1E6E"/>
    <w:rsid w:val="001A38AF"/>
    <w:rsid w:val="001C5DE9"/>
    <w:rsid w:val="001D751A"/>
    <w:rsid w:val="001E496E"/>
    <w:rsid w:val="001F3910"/>
    <w:rsid w:val="00203150"/>
    <w:rsid w:val="0020494D"/>
    <w:rsid w:val="00221998"/>
    <w:rsid w:val="002303A2"/>
    <w:rsid w:val="00231533"/>
    <w:rsid w:val="00253B42"/>
    <w:rsid w:val="0025649A"/>
    <w:rsid w:val="002805F8"/>
    <w:rsid w:val="002B1070"/>
    <w:rsid w:val="002C0837"/>
    <w:rsid w:val="002E5667"/>
    <w:rsid w:val="002F0245"/>
    <w:rsid w:val="002F359C"/>
    <w:rsid w:val="003047E2"/>
    <w:rsid w:val="003062D0"/>
    <w:rsid w:val="0031264B"/>
    <w:rsid w:val="00341CC0"/>
    <w:rsid w:val="0034464E"/>
    <w:rsid w:val="0035389C"/>
    <w:rsid w:val="003562B7"/>
    <w:rsid w:val="00361612"/>
    <w:rsid w:val="00371F73"/>
    <w:rsid w:val="003812DE"/>
    <w:rsid w:val="00392953"/>
    <w:rsid w:val="003B7A8E"/>
    <w:rsid w:val="003C19E4"/>
    <w:rsid w:val="003C6A0C"/>
    <w:rsid w:val="003D5C21"/>
    <w:rsid w:val="003D5F4B"/>
    <w:rsid w:val="003F4651"/>
    <w:rsid w:val="004412FA"/>
    <w:rsid w:val="00460487"/>
    <w:rsid w:val="004765A0"/>
    <w:rsid w:val="00485BF3"/>
    <w:rsid w:val="004930D6"/>
    <w:rsid w:val="004B6662"/>
    <w:rsid w:val="004B6988"/>
    <w:rsid w:val="004D46FE"/>
    <w:rsid w:val="004E02B3"/>
    <w:rsid w:val="004E5FEF"/>
    <w:rsid w:val="004F3C49"/>
    <w:rsid w:val="005164F7"/>
    <w:rsid w:val="00517ABA"/>
    <w:rsid w:val="00527003"/>
    <w:rsid w:val="005279F6"/>
    <w:rsid w:val="00531566"/>
    <w:rsid w:val="00547E17"/>
    <w:rsid w:val="00551601"/>
    <w:rsid w:val="00556C30"/>
    <w:rsid w:val="005848E9"/>
    <w:rsid w:val="00590BB8"/>
    <w:rsid w:val="005A4F30"/>
    <w:rsid w:val="005B0CE1"/>
    <w:rsid w:val="005B639D"/>
    <w:rsid w:val="005D47A5"/>
    <w:rsid w:val="005E7F41"/>
    <w:rsid w:val="005F067B"/>
    <w:rsid w:val="00610611"/>
    <w:rsid w:val="00620EBF"/>
    <w:rsid w:val="00622E42"/>
    <w:rsid w:val="006427D2"/>
    <w:rsid w:val="006513DF"/>
    <w:rsid w:val="00653C4D"/>
    <w:rsid w:val="006824BD"/>
    <w:rsid w:val="006842BA"/>
    <w:rsid w:val="006C434E"/>
    <w:rsid w:val="006E23FC"/>
    <w:rsid w:val="00711F62"/>
    <w:rsid w:val="00716149"/>
    <w:rsid w:val="00751E5F"/>
    <w:rsid w:val="00786589"/>
    <w:rsid w:val="00795627"/>
    <w:rsid w:val="007B1DE4"/>
    <w:rsid w:val="007B6429"/>
    <w:rsid w:val="007E0EA9"/>
    <w:rsid w:val="007F275E"/>
    <w:rsid w:val="00810A6B"/>
    <w:rsid w:val="008260F3"/>
    <w:rsid w:val="008311BB"/>
    <w:rsid w:val="0085440B"/>
    <w:rsid w:val="00856767"/>
    <w:rsid w:val="008619C1"/>
    <w:rsid w:val="00865410"/>
    <w:rsid w:val="00880AAB"/>
    <w:rsid w:val="008865B0"/>
    <w:rsid w:val="00892FC1"/>
    <w:rsid w:val="00894217"/>
    <w:rsid w:val="008953A8"/>
    <w:rsid w:val="008B4473"/>
    <w:rsid w:val="008D3408"/>
    <w:rsid w:val="008D673A"/>
    <w:rsid w:val="008E2AB8"/>
    <w:rsid w:val="009225DE"/>
    <w:rsid w:val="00924801"/>
    <w:rsid w:val="0093684E"/>
    <w:rsid w:val="00947529"/>
    <w:rsid w:val="00950DED"/>
    <w:rsid w:val="00955172"/>
    <w:rsid w:val="00983F6B"/>
    <w:rsid w:val="00984BC1"/>
    <w:rsid w:val="009A4F95"/>
    <w:rsid w:val="009B2243"/>
    <w:rsid w:val="009B5553"/>
    <w:rsid w:val="009C30AE"/>
    <w:rsid w:val="009C57B8"/>
    <w:rsid w:val="00A045E8"/>
    <w:rsid w:val="00A1092B"/>
    <w:rsid w:val="00A1342E"/>
    <w:rsid w:val="00A22543"/>
    <w:rsid w:val="00A33AC0"/>
    <w:rsid w:val="00A621F6"/>
    <w:rsid w:val="00A65D9C"/>
    <w:rsid w:val="00A745E2"/>
    <w:rsid w:val="00A81AFA"/>
    <w:rsid w:val="00A9336B"/>
    <w:rsid w:val="00A94237"/>
    <w:rsid w:val="00A968F7"/>
    <w:rsid w:val="00AA39F3"/>
    <w:rsid w:val="00AA6D4C"/>
    <w:rsid w:val="00AB136B"/>
    <w:rsid w:val="00AE0871"/>
    <w:rsid w:val="00AE7D88"/>
    <w:rsid w:val="00B02B30"/>
    <w:rsid w:val="00B110B8"/>
    <w:rsid w:val="00B1160D"/>
    <w:rsid w:val="00B167B5"/>
    <w:rsid w:val="00B466E1"/>
    <w:rsid w:val="00B47AAD"/>
    <w:rsid w:val="00B53E5E"/>
    <w:rsid w:val="00B7582C"/>
    <w:rsid w:val="00B82BB9"/>
    <w:rsid w:val="00B82F48"/>
    <w:rsid w:val="00B96535"/>
    <w:rsid w:val="00BB1805"/>
    <w:rsid w:val="00BD7AC9"/>
    <w:rsid w:val="00BE0481"/>
    <w:rsid w:val="00BE0EB7"/>
    <w:rsid w:val="00BE136C"/>
    <w:rsid w:val="00BE4700"/>
    <w:rsid w:val="00BE5F5E"/>
    <w:rsid w:val="00BE6F15"/>
    <w:rsid w:val="00BF26E8"/>
    <w:rsid w:val="00BF5508"/>
    <w:rsid w:val="00C01508"/>
    <w:rsid w:val="00C11052"/>
    <w:rsid w:val="00C20F49"/>
    <w:rsid w:val="00C42CEC"/>
    <w:rsid w:val="00C53954"/>
    <w:rsid w:val="00C54742"/>
    <w:rsid w:val="00C70F84"/>
    <w:rsid w:val="00C73113"/>
    <w:rsid w:val="00C73906"/>
    <w:rsid w:val="00C95F8F"/>
    <w:rsid w:val="00CB6EA9"/>
    <w:rsid w:val="00CC1E52"/>
    <w:rsid w:val="00CD684E"/>
    <w:rsid w:val="00CE362F"/>
    <w:rsid w:val="00CF00D9"/>
    <w:rsid w:val="00CF04B0"/>
    <w:rsid w:val="00CF21A3"/>
    <w:rsid w:val="00CF61ED"/>
    <w:rsid w:val="00CF6933"/>
    <w:rsid w:val="00D0611D"/>
    <w:rsid w:val="00D071A9"/>
    <w:rsid w:val="00D10CC1"/>
    <w:rsid w:val="00D53921"/>
    <w:rsid w:val="00D55B4D"/>
    <w:rsid w:val="00D6579E"/>
    <w:rsid w:val="00D729B0"/>
    <w:rsid w:val="00D73020"/>
    <w:rsid w:val="00D7539B"/>
    <w:rsid w:val="00D76FF2"/>
    <w:rsid w:val="00D8189F"/>
    <w:rsid w:val="00D955FE"/>
    <w:rsid w:val="00DA0E9C"/>
    <w:rsid w:val="00DA4696"/>
    <w:rsid w:val="00DA6A45"/>
    <w:rsid w:val="00DB2D47"/>
    <w:rsid w:val="00DD0C9C"/>
    <w:rsid w:val="00DD6AE4"/>
    <w:rsid w:val="00DE12F3"/>
    <w:rsid w:val="00DE725B"/>
    <w:rsid w:val="00DF39B1"/>
    <w:rsid w:val="00E23358"/>
    <w:rsid w:val="00E30C37"/>
    <w:rsid w:val="00E36D1A"/>
    <w:rsid w:val="00E51FA5"/>
    <w:rsid w:val="00E6300A"/>
    <w:rsid w:val="00E7579E"/>
    <w:rsid w:val="00E81F43"/>
    <w:rsid w:val="00E84B69"/>
    <w:rsid w:val="00E86451"/>
    <w:rsid w:val="00E94C1D"/>
    <w:rsid w:val="00E96E4F"/>
    <w:rsid w:val="00EB3B6C"/>
    <w:rsid w:val="00EB46DA"/>
    <w:rsid w:val="00EB4A49"/>
    <w:rsid w:val="00ED0120"/>
    <w:rsid w:val="00ED5C6A"/>
    <w:rsid w:val="00EE1633"/>
    <w:rsid w:val="00EF5803"/>
    <w:rsid w:val="00EF6ACA"/>
    <w:rsid w:val="00F04B61"/>
    <w:rsid w:val="00F41FE8"/>
    <w:rsid w:val="00F45294"/>
    <w:rsid w:val="00F47569"/>
    <w:rsid w:val="00F615D5"/>
    <w:rsid w:val="00F826FD"/>
    <w:rsid w:val="00F960CC"/>
    <w:rsid w:val="00FA1300"/>
    <w:rsid w:val="00FA622C"/>
    <w:rsid w:val="00FE0867"/>
    <w:rsid w:val="00FE5445"/>
    <w:rsid w:val="00FF188A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0DC25A-9B76-4A6D-82C7-3FA64A36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4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46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65A0"/>
  </w:style>
  <w:style w:type="paragraph" w:styleId="Footer">
    <w:name w:val="footer"/>
    <w:basedOn w:val="Normal"/>
    <w:link w:val="FooterChar"/>
    <w:uiPriority w:val="99"/>
    <w:semiHidden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65A0"/>
  </w:style>
  <w:style w:type="paragraph" w:styleId="ListParagraph">
    <w:name w:val="List Paragraph"/>
    <w:basedOn w:val="Normal"/>
    <w:uiPriority w:val="34"/>
    <w:qFormat/>
    <w:rsid w:val="00B1160D"/>
    <w:pPr>
      <w:ind w:left="720"/>
    </w:pPr>
  </w:style>
  <w:style w:type="paragraph" w:styleId="NoSpacing">
    <w:name w:val="No Spacing"/>
    <w:link w:val="NoSpacingChar"/>
    <w:uiPriority w:val="99"/>
    <w:qFormat/>
    <w:rsid w:val="00DE12F3"/>
    <w:pPr>
      <w:jc w:val="both"/>
    </w:pPr>
    <w:rPr>
      <w:sz w:val="24"/>
      <w:szCs w:val="24"/>
      <w:lang w:val="sr-Latn-CS"/>
    </w:rPr>
  </w:style>
  <w:style w:type="character" w:customStyle="1" w:styleId="NoSpacingChar">
    <w:name w:val="No Spacing Char"/>
    <w:link w:val="NoSpacing"/>
    <w:uiPriority w:val="99"/>
    <w:locked/>
    <w:rsid w:val="00DE12F3"/>
    <w:rPr>
      <w:rFonts w:ascii="Times New Roman" w:hAnsi="Times New Roman" w:cs="Times New Roman"/>
      <w:sz w:val="24"/>
      <w:szCs w:val="24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47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0B8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8F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8F7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A968F7"/>
    <w:rPr>
      <w:vertAlign w:val="superscript"/>
    </w:rPr>
  </w:style>
  <w:style w:type="character" w:customStyle="1" w:styleId="im">
    <w:name w:val="im"/>
    <w:basedOn w:val="DefaultParagraphFont"/>
    <w:rsid w:val="00A9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1C91-820D-464E-81C8-6E127BE2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IZVOĐENJA NATIVNE RADIOGRAFIJE ABDOMENA</vt:lpstr>
    </vt:vector>
  </TitlesOfParts>
  <Company>Toshiba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IZVOĐENJA NATIVNE RADIOGRAFIJE ABDOMENA</dc:title>
  <dc:creator>pc</dc:creator>
  <cp:lastModifiedBy>jelena</cp:lastModifiedBy>
  <cp:revision>3</cp:revision>
  <cp:lastPrinted>2019-02-22T11:14:00Z</cp:lastPrinted>
  <dcterms:created xsi:type="dcterms:W3CDTF">2019-02-23T15:35:00Z</dcterms:created>
  <dcterms:modified xsi:type="dcterms:W3CDTF">2021-12-06T13:31:00Z</dcterms:modified>
</cp:coreProperties>
</file>