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FEF" w:rsidRDefault="004E5FEF" w:rsidP="003F4651">
      <w:pPr>
        <w:spacing w:line="360" w:lineRule="auto"/>
        <w:jc w:val="both"/>
        <w:rPr>
          <w:sz w:val="24"/>
          <w:szCs w:val="24"/>
        </w:rPr>
      </w:pPr>
    </w:p>
    <w:p w:rsidR="004E5FEF" w:rsidRDefault="004E5FEF" w:rsidP="003F4651">
      <w:pPr>
        <w:spacing w:line="360" w:lineRule="auto"/>
        <w:jc w:val="both"/>
        <w:rPr>
          <w:sz w:val="24"/>
          <w:szCs w:val="24"/>
        </w:rPr>
      </w:pPr>
    </w:p>
    <w:tbl>
      <w:tblPr>
        <w:tblW w:w="95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25"/>
      </w:tblGrid>
      <w:tr w:rsidR="004E5FEF" w:rsidRPr="005D3799">
        <w:trPr>
          <w:trHeight w:val="1405"/>
          <w:jc w:val="center"/>
        </w:trPr>
        <w:tc>
          <w:tcPr>
            <w:tcW w:w="9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E5FEF" w:rsidRPr="00D6579E" w:rsidRDefault="004E5FEF" w:rsidP="00D6579E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  <w:p w:rsidR="00BE0481" w:rsidRPr="007B1DE4" w:rsidRDefault="00B02B30" w:rsidP="00B02B3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it-IT"/>
              </w:rPr>
            </w:pPr>
            <w:r w:rsidRPr="007B1DE4">
              <w:rPr>
                <w:rFonts w:ascii="Times New Roman" w:hAnsi="Times New Roman" w:cs="Times New Roman"/>
                <w:b/>
                <w:sz w:val="36"/>
                <w:szCs w:val="36"/>
                <w:lang w:val="it-IT"/>
              </w:rPr>
              <w:t>PROCEDURA ZA PROVERU ISPRAVNOSTI, TEKUĆE ODR</w:t>
            </w:r>
            <w:r w:rsidRPr="007B1DE4">
              <w:rPr>
                <w:rFonts w:ascii="Times New Roman" w:hAnsi="Times New Roman" w:cs="Times New Roman"/>
                <w:b/>
                <w:sz w:val="36"/>
                <w:szCs w:val="36"/>
                <w:lang w:val="sr-Latn-RS"/>
              </w:rPr>
              <w:t xml:space="preserve">ŽAVANJE I SERVISIRANJE KVAROVA NA UREĐAJIMA </w:t>
            </w:r>
            <w:r w:rsidR="00751E5F">
              <w:rPr>
                <w:rFonts w:ascii="Times New Roman" w:hAnsi="Times New Roman" w:cs="Times New Roman"/>
                <w:b/>
                <w:sz w:val="36"/>
                <w:szCs w:val="36"/>
                <w:lang w:val="sr-Latn-RS"/>
              </w:rPr>
              <w:t>I APARATIMA</w:t>
            </w:r>
          </w:p>
        </w:tc>
      </w:tr>
    </w:tbl>
    <w:p w:rsidR="004E5FEF" w:rsidRPr="00610611" w:rsidRDefault="004E5FEF" w:rsidP="003F4651">
      <w:pPr>
        <w:spacing w:line="360" w:lineRule="auto"/>
        <w:jc w:val="both"/>
        <w:rPr>
          <w:sz w:val="24"/>
          <w:szCs w:val="24"/>
          <w:lang w:val="it-IT"/>
        </w:rPr>
      </w:pPr>
    </w:p>
    <w:p w:rsidR="004E5FEF" w:rsidRPr="00610611" w:rsidRDefault="004E5FEF" w:rsidP="003F4651">
      <w:pPr>
        <w:spacing w:line="360" w:lineRule="auto"/>
        <w:jc w:val="both"/>
        <w:rPr>
          <w:sz w:val="24"/>
          <w:szCs w:val="24"/>
          <w:lang w:val="it-IT"/>
        </w:rPr>
      </w:pPr>
    </w:p>
    <w:p w:rsidR="004E5FEF" w:rsidRPr="00610611" w:rsidRDefault="004E5FEF" w:rsidP="003F4651">
      <w:pPr>
        <w:spacing w:line="360" w:lineRule="auto"/>
        <w:jc w:val="both"/>
        <w:rPr>
          <w:sz w:val="24"/>
          <w:szCs w:val="24"/>
          <w:lang w:val="it-IT"/>
        </w:rPr>
      </w:pPr>
    </w:p>
    <w:p w:rsidR="004E5FEF" w:rsidRPr="00610611" w:rsidRDefault="004E5FEF" w:rsidP="003F4651">
      <w:pPr>
        <w:spacing w:line="360" w:lineRule="auto"/>
        <w:jc w:val="both"/>
        <w:rPr>
          <w:sz w:val="24"/>
          <w:szCs w:val="24"/>
          <w:lang w:val="it-IT"/>
        </w:rPr>
      </w:pPr>
    </w:p>
    <w:tbl>
      <w:tblPr>
        <w:tblW w:w="970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559"/>
        <w:gridCol w:w="2268"/>
        <w:gridCol w:w="2363"/>
        <w:gridCol w:w="2410"/>
      </w:tblGrid>
      <w:tr w:rsidR="004E5FEF" w:rsidRPr="00D6579E">
        <w:trPr>
          <w:jc w:val="center"/>
        </w:trPr>
        <w:tc>
          <w:tcPr>
            <w:tcW w:w="1101" w:type="dxa"/>
            <w:tcBorders>
              <w:top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5FEF" w:rsidRPr="007B1DE4" w:rsidRDefault="004E5FEF" w:rsidP="00D657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E4">
              <w:rPr>
                <w:rFonts w:ascii="Times New Roman" w:hAnsi="Times New Roman" w:cs="Times New Roman"/>
                <w:sz w:val="24"/>
                <w:szCs w:val="24"/>
              </w:rPr>
              <w:t>Verzija: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5FEF" w:rsidRPr="007B1DE4" w:rsidRDefault="004E5FEF" w:rsidP="00D657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E4">
              <w:rPr>
                <w:rFonts w:ascii="Times New Roman" w:hAnsi="Times New Roman" w:cs="Times New Roman"/>
                <w:sz w:val="24"/>
                <w:szCs w:val="24"/>
              </w:rPr>
              <w:t>Datum: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5FEF" w:rsidRPr="007B1DE4" w:rsidRDefault="004E5FEF" w:rsidP="00D657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E4">
              <w:rPr>
                <w:rFonts w:ascii="Times New Roman" w:hAnsi="Times New Roman" w:cs="Times New Roman"/>
                <w:sz w:val="24"/>
                <w:szCs w:val="24"/>
              </w:rPr>
              <w:t>Delovodni broj:</w:t>
            </w:r>
          </w:p>
        </w:tc>
        <w:tc>
          <w:tcPr>
            <w:tcW w:w="236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5FEF" w:rsidRPr="007B1DE4" w:rsidRDefault="004E5FEF" w:rsidP="00D657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E4">
              <w:rPr>
                <w:rFonts w:ascii="Times New Roman" w:hAnsi="Times New Roman" w:cs="Times New Roman"/>
                <w:sz w:val="24"/>
                <w:szCs w:val="24"/>
              </w:rPr>
              <w:t>Izradio: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E5FEF" w:rsidRPr="007B1DE4" w:rsidRDefault="004E5FEF" w:rsidP="00D657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E4">
              <w:rPr>
                <w:rFonts w:ascii="Times New Roman" w:hAnsi="Times New Roman" w:cs="Times New Roman"/>
                <w:sz w:val="24"/>
                <w:szCs w:val="24"/>
              </w:rPr>
              <w:t>Odobrio:</w:t>
            </w:r>
          </w:p>
        </w:tc>
      </w:tr>
      <w:tr w:rsidR="004E5FEF" w:rsidRPr="00D6579E">
        <w:trPr>
          <w:jc w:val="center"/>
        </w:trPr>
        <w:tc>
          <w:tcPr>
            <w:tcW w:w="1101" w:type="dxa"/>
            <w:tcBorders>
              <w:top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E5FEF" w:rsidRPr="007B1DE4" w:rsidRDefault="004E5FEF" w:rsidP="00B02B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E5FEF" w:rsidRPr="007B1DE4" w:rsidRDefault="004E5FEF" w:rsidP="00B02B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E5FEF" w:rsidRPr="007B1DE4" w:rsidRDefault="00BF26E8" w:rsidP="00B02B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E5FEF" w:rsidRPr="007B1DE4" w:rsidRDefault="004E5FEF" w:rsidP="00BF26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</w:tcPr>
          <w:p w:rsidR="004E5FEF" w:rsidRPr="007B1DE4" w:rsidRDefault="0025649A" w:rsidP="00B02B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E4">
              <w:rPr>
                <w:rFonts w:ascii="Times New Roman" w:hAnsi="Times New Roman" w:cs="Times New Roman"/>
                <w:sz w:val="24"/>
                <w:szCs w:val="24"/>
              </w:rPr>
              <w:t>Komisija za odobravanje procedura</w:t>
            </w:r>
          </w:p>
        </w:tc>
      </w:tr>
    </w:tbl>
    <w:p w:rsidR="004E5FEF" w:rsidRDefault="004E5FEF" w:rsidP="00B02B30">
      <w:pPr>
        <w:spacing w:line="360" w:lineRule="auto"/>
        <w:jc w:val="center"/>
        <w:rPr>
          <w:sz w:val="24"/>
          <w:szCs w:val="24"/>
        </w:rPr>
      </w:pPr>
    </w:p>
    <w:p w:rsidR="004E5FEF" w:rsidRPr="008E2AB8" w:rsidRDefault="004E5FEF" w:rsidP="002B107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2AB8">
        <w:rPr>
          <w:rFonts w:ascii="Times New Roman" w:hAnsi="Times New Roman" w:cs="Times New Roman"/>
          <w:b/>
          <w:sz w:val="28"/>
          <w:szCs w:val="28"/>
          <w:u w:val="single"/>
        </w:rPr>
        <w:t>LISTA IZMENA I DOPUNA</w:t>
      </w:r>
    </w:p>
    <w:tbl>
      <w:tblPr>
        <w:tblW w:w="96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0"/>
        <w:gridCol w:w="1559"/>
        <w:gridCol w:w="2268"/>
        <w:gridCol w:w="2321"/>
        <w:gridCol w:w="2382"/>
      </w:tblGrid>
      <w:tr w:rsidR="004E5FEF" w:rsidRPr="007B1DE4">
        <w:trPr>
          <w:trHeight w:val="420"/>
          <w:jc w:val="center"/>
        </w:trPr>
        <w:tc>
          <w:tcPr>
            <w:tcW w:w="1100" w:type="dxa"/>
            <w:tcBorders>
              <w:top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5FEF" w:rsidRPr="007B1DE4" w:rsidRDefault="004E5FEF" w:rsidP="00D657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E4">
              <w:rPr>
                <w:rFonts w:ascii="Times New Roman" w:hAnsi="Times New Roman" w:cs="Times New Roman"/>
                <w:sz w:val="24"/>
                <w:szCs w:val="24"/>
              </w:rPr>
              <w:t>Verzija: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5FEF" w:rsidRPr="007B1DE4" w:rsidRDefault="004E5FEF" w:rsidP="00D657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E4">
              <w:rPr>
                <w:rFonts w:ascii="Times New Roman" w:hAnsi="Times New Roman" w:cs="Times New Roman"/>
                <w:sz w:val="24"/>
                <w:szCs w:val="24"/>
              </w:rPr>
              <w:t>Datum: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5FEF" w:rsidRPr="007B1DE4" w:rsidRDefault="004E5FEF" w:rsidP="00D657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E4">
              <w:rPr>
                <w:rFonts w:ascii="Times New Roman" w:hAnsi="Times New Roman" w:cs="Times New Roman"/>
                <w:sz w:val="24"/>
                <w:szCs w:val="24"/>
              </w:rPr>
              <w:t>Razlog izmene:</w:t>
            </w:r>
          </w:p>
        </w:tc>
        <w:tc>
          <w:tcPr>
            <w:tcW w:w="232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5FEF" w:rsidRPr="007B1DE4" w:rsidRDefault="004E5FEF" w:rsidP="00D657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E4">
              <w:rPr>
                <w:rFonts w:ascii="Times New Roman" w:hAnsi="Times New Roman" w:cs="Times New Roman"/>
                <w:sz w:val="24"/>
                <w:szCs w:val="24"/>
              </w:rPr>
              <w:t>Izradio:</w:t>
            </w:r>
          </w:p>
        </w:tc>
        <w:tc>
          <w:tcPr>
            <w:tcW w:w="238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E5FEF" w:rsidRPr="007B1DE4" w:rsidRDefault="004E5FEF" w:rsidP="00D6579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E4">
              <w:rPr>
                <w:rFonts w:ascii="Times New Roman" w:hAnsi="Times New Roman" w:cs="Times New Roman"/>
                <w:sz w:val="24"/>
                <w:szCs w:val="24"/>
              </w:rPr>
              <w:t>Odobrio:</w:t>
            </w:r>
          </w:p>
        </w:tc>
      </w:tr>
      <w:tr w:rsidR="004E5FEF" w:rsidRPr="007B1DE4">
        <w:trPr>
          <w:trHeight w:val="30"/>
          <w:jc w:val="center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FEF" w:rsidRPr="007B1DE4" w:rsidRDefault="004E5FEF" w:rsidP="008567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FEF" w:rsidRPr="007B1DE4" w:rsidRDefault="004E5FEF" w:rsidP="00D657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FEF" w:rsidRPr="007B1DE4" w:rsidRDefault="004E5FEF" w:rsidP="00D657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FEF" w:rsidRPr="007B1DE4" w:rsidRDefault="004E5FEF" w:rsidP="008567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E5FEF" w:rsidRPr="007B1DE4" w:rsidRDefault="004E5FEF" w:rsidP="002564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67" w:rsidRPr="007B1DE4">
        <w:trPr>
          <w:trHeight w:val="435"/>
          <w:jc w:val="center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67" w:rsidRPr="007B1DE4" w:rsidRDefault="00856767" w:rsidP="00D657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67" w:rsidRPr="007B1DE4" w:rsidRDefault="00856767" w:rsidP="00D657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67" w:rsidRPr="007B1DE4" w:rsidRDefault="00856767" w:rsidP="00D657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67" w:rsidRPr="007B1DE4" w:rsidRDefault="00856767" w:rsidP="00D657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6767" w:rsidRPr="007B1DE4" w:rsidRDefault="00856767" w:rsidP="00277F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856767" w:rsidRPr="007B1DE4">
        <w:trPr>
          <w:jc w:val="center"/>
        </w:trPr>
        <w:tc>
          <w:tcPr>
            <w:tcW w:w="1100" w:type="dxa"/>
            <w:tcBorders>
              <w:top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56767" w:rsidRPr="007B1DE4" w:rsidRDefault="00856767" w:rsidP="00D657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56767" w:rsidRPr="007B1DE4" w:rsidRDefault="00856767" w:rsidP="00D657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56767" w:rsidRPr="007B1DE4" w:rsidRDefault="00856767" w:rsidP="00D657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56767" w:rsidRPr="007B1DE4" w:rsidRDefault="00856767" w:rsidP="00D657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</w:tcPr>
          <w:p w:rsidR="00856767" w:rsidRPr="007B1DE4" w:rsidRDefault="00856767" w:rsidP="00D657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5FEF" w:rsidRDefault="004E5FEF" w:rsidP="009A4F95">
      <w:pPr>
        <w:pStyle w:val="NoSpacing"/>
        <w:spacing w:after="120"/>
        <w:rPr>
          <w:rFonts w:cs="Calibri"/>
          <w:lang w:val="en-US"/>
        </w:rPr>
      </w:pPr>
    </w:p>
    <w:p w:rsidR="0025649A" w:rsidRDefault="0025649A" w:rsidP="009A4F95">
      <w:pPr>
        <w:pStyle w:val="NoSpacing"/>
        <w:spacing w:after="120"/>
        <w:rPr>
          <w:rFonts w:cs="Calibri"/>
          <w:b/>
          <w:bCs/>
          <w:color w:val="000000"/>
          <w:sz w:val="28"/>
          <w:szCs w:val="28"/>
          <w:u w:val="single"/>
        </w:rPr>
      </w:pPr>
    </w:p>
    <w:p w:rsidR="00D73020" w:rsidRDefault="00D73020" w:rsidP="009A4F95">
      <w:pPr>
        <w:pStyle w:val="NoSpacing"/>
        <w:spacing w:after="120"/>
        <w:rPr>
          <w:rFonts w:cs="Calibri"/>
          <w:b/>
          <w:bCs/>
          <w:color w:val="000000"/>
          <w:sz w:val="28"/>
          <w:szCs w:val="28"/>
          <w:u w:val="single"/>
        </w:rPr>
      </w:pPr>
    </w:p>
    <w:p w:rsidR="008E2AB8" w:rsidRDefault="008E2AB8" w:rsidP="008E2AB8">
      <w:pPr>
        <w:pStyle w:val="NoSpacing"/>
        <w:rPr>
          <w:rFonts w:cs="Calibri"/>
          <w:b/>
          <w:bCs/>
          <w:color w:val="000000"/>
          <w:sz w:val="28"/>
          <w:szCs w:val="28"/>
          <w:u w:val="single"/>
        </w:rPr>
      </w:pPr>
    </w:p>
    <w:p w:rsidR="004E5FEF" w:rsidRDefault="004E5FEF" w:rsidP="009A4F95">
      <w:pPr>
        <w:pStyle w:val="NoSpacing"/>
        <w:spacing w:after="120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7B1DE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PREDMET, CILJ I PODRUČJE PRIMENE</w:t>
      </w:r>
    </w:p>
    <w:p w:rsidR="007B1DE4" w:rsidRDefault="007B1DE4" w:rsidP="008E2AB8">
      <w:pPr>
        <w:pStyle w:val="NoSpacing"/>
        <w:spacing w:after="120" w:line="276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135850" w:rsidRDefault="007B1DE4" w:rsidP="000F75AC">
      <w:pPr>
        <w:pStyle w:val="NoSpacing"/>
        <w:spacing w:line="276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       </w:t>
      </w:r>
      <w:r w:rsidRPr="007B1DE4">
        <w:rPr>
          <w:rFonts w:ascii="Times New Roman" w:hAnsi="Times New Roman"/>
          <w:bCs/>
          <w:color w:val="000000"/>
        </w:rPr>
        <w:t xml:space="preserve">Ova procedura ima cilj i namenu da obuhvati </w:t>
      </w:r>
      <w:r w:rsidR="00CF21A3">
        <w:rPr>
          <w:rFonts w:ascii="Times New Roman" w:hAnsi="Times New Roman"/>
          <w:bCs/>
          <w:color w:val="000000"/>
        </w:rPr>
        <w:t xml:space="preserve">deo </w:t>
      </w:r>
      <w:r w:rsidRPr="007B1DE4">
        <w:rPr>
          <w:rFonts w:ascii="Times New Roman" w:hAnsi="Times New Roman"/>
          <w:bCs/>
          <w:color w:val="000000"/>
        </w:rPr>
        <w:t>menadžement</w:t>
      </w:r>
      <w:r w:rsidR="00CF21A3">
        <w:rPr>
          <w:rFonts w:ascii="Times New Roman" w:hAnsi="Times New Roman"/>
          <w:bCs/>
          <w:color w:val="000000"/>
        </w:rPr>
        <w:t>a</w:t>
      </w:r>
      <w:r w:rsidRPr="007B1DE4">
        <w:rPr>
          <w:rFonts w:ascii="Times New Roman" w:hAnsi="Times New Roman"/>
          <w:bCs/>
          <w:color w:val="000000"/>
        </w:rPr>
        <w:t xml:space="preserve"> upravljanja kvalitetom dijagnostičkih, dozimetrijskih, laboratorijskih i pratećih uređaja Centra</w:t>
      </w:r>
      <w:r w:rsidR="00CF21A3">
        <w:rPr>
          <w:rFonts w:ascii="Times New Roman" w:hAnsi="Times New Roman"/>
          <w:bCs/>
          <w:color w:val="000000"/>
        </w:rPr>
        <w:t xml:space="preserve">, koji obuhvata proveru ispravnosti, tekuće održavanje i servisiranje kvarova na uređajima i aparatima. </w:t>
      </w:r>
    </w:p>
    <w:p w:rsidR="008E2AB8" w:rsidRPr="008E2AB8" w:rsidRDefault="008E2AB8" w:rsidP="000F75AC">
      <w:pPr>
        <w:pStyle w:val="NoSpacing"/>
        <w:spacing w:line="276" w:lineRule="auto"/>
        <w:rPr>
          <w:rFonts w:ascii="Times New Roman" w:hAnsi="Times New Roman"/>
          <w:bCs/>
          <w:color w:val="000000"/>
          <w:lang w:val="sr-Latn-RS"/>
        </w:rPr>
      </w:pPr>
    </w:p>
    <w:p w:rsidR="00135850" w:rsidRPr="007B1DE4" w:rsidRDefault="00135850" w:rsidP="000F75AC">
      <w:pPr>
        <w:pStyle w:val="NoSpacing"/>
        <w:spacing w:after="120" w:line="276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      U predmentnom smislu, procedurom su obuhvaćeni i interni i eksterni aspekti. </w:t>
      </w:r>
    </w:p>
    <w:p w:rsidR="00653C4D" w:rsidRPr="007B1DE4" w:rsidRDefault="00653C4D" w:rsidP="000F75AC">
      <w:pPr>
        <w:spacing w:after="12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4E5FEF" w:rsidRDefault="00653C4D" w:rsidP="000F75AC">
      <w:pPr>
        <w:pStyle w:val="NoSpacing"/>
        <w:spacing w:after="120" w:line="276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7B1DE4">
        <w:rPr>
          <w:rFonts w:ascii="Times New Roman" w:hAnsi="Times New Roman"/>
          <w:b/>
          <w:bCs/>
          <w:sz w:val="28"/>
          <w:szCs w:val="28"/>
          <w:u w:val="single"/>
        </w:rPr>
        <w:t>VEZA SA DRUGIM DOKUMENTIMA</w:t>
      </w:r>
      <w:r w:rsidR="004E5FEF" w:rsidRPr="007B1DE4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</w:p>
    <w:p w:rsidR="00197B3C" w:rsidRPr="007B1DE4" w:rsidRDefault="00197B3C" w:rsidP="000F75AC">
      <w:pPr>
        <w:pStyle w:val="NoSpacing"/>
        <w:spacing w:line="276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4E5FEF" w:rsidRPr="00751E5F" w:rsidRDefault="00135850" w:rsidP="00C01508">
      <w:pPr>
        <w:pStyle w:val="NoSpacing"/>
        <w:numPr>
          <w:ilvl w:val="0"/>
          <w:numId w:val="15"/>
        </w:numPr>
        <w:spacing w:line="276" w:lineRule="auto"/>
        <w:rPr>
          <w:rFonts w:ascii="Times New Roman" w:hAnsi="Times New Roman"/>
          <w:bCs/>
          <w:color w:val="000000"/>
        </w:rPr>
      </w:pPr>
      <w:r w:rsidRPr="00751E5F">
        <w:rPr>
          <w:rFonts w:ascii="Times New Roman" w:hAnsi="Times New Roman"/>
          <w:bCs/>
          <w:color w:val="000000"/>
        </w:rPr>
        <w:t>Procedure za uključivanje</w:t>
      </w:r>
      <w:r w:rsidR="00751E5F" w:rsidRPr="00751E5F">
        <w:rPr>
          <w:rFonts w:ascii="Times New Roman" w:hAnsi="Times New Roman"/>
          <w:bCs/>
          <w:color w:val="000000"/>
        </w:rPr>
        <w:t>/</w:t>
      </w:r>
      <w:r w:rsidRPr="00751E5F">
        <w:rPr>
          <w:rFonts w:ascii="Times New Roman" w:hAnsi="Times New Roman"/>
          <w:bCs/>
          <w:color w:val="000000"/>
        </w:rPr>
        <w:t xml:space="preserve">isključivanje aparata i korišćenje </w:t>
      </w:r>
      <w:r w:rsidR="00751E5F" w:rsidRPr="00751E5F">
        <w:rPr>
          <w:rFonts w:ascii="Times New Roman" w:hAnsi="Times New Roman"/>
          <w:bCs/>
          <w:color w:val="000000"/>
        </w:rPr>
        <w:t xml:space="preserve">uređaja i </w:t>
      </w:r>
      <w:r w:rsidRPr="00751E5F">
        <w:rPr>
          <w:rFonts w:ascii="Times New Roman" w:hAnsi="Times New Roman"/>
          <w:bCs/>
          <w:color w:val="000000"/>
        </w:rPr>
        <w:t>aparata</w:t>
      </w:r>
    </w:p>
    <w:p w:rsidR="00E6300A" w:rsidRPr="00751E5F" w:rsidRDefault="00135850" w:rsidP="00C01508">
      <w:pPr>
        <w:pStyle w:val="NoSpacing"/>
        <w:numPr>
          <w:ilvl w:val="0"/>
          <w:numId w:val="15"/>
        </w:numPr>
        <w:spacing w:line="276" w:lineRule="auto"/>
        <w:rPr>
          <w:rFonts w:ascii="Times New Roman" w:hAnsi="Times New Roman"/>
          <w:bCs/>
          <w:color w:val="000000"/>
        </w:rPr>
      </w:pPr>
      <w:r w:rsidRPr="00751E5F">
        <w:rPr>
          <w:rFonts w:ascii="Times New Roman" w:hAnsi="Times New Roman"/>
          <w:bCs/>
          <w:color w:val="000000"/>
        </w:rPr>
        <w:t>Procedu</w:t>
      </w:r>
      <w:r w:rsidR="00751E5F" w:rsidRPr="00751E5F">
        <w:rPr>
          <w:rFonts w:ascii="Times New Roman" w:hAnsi="Times New Roman"/>
          <w:bCs/>
          <w:color w:val="000000"/>
        </w:rPr>
        <w:t>re za kontrolu kvaliteta uređaja i aparata</w:t>
      </w:r>
    </w:p>
    <w:p w:rsidR="00135850" w:rsidRPr="00751E5F" w:rsidRDefault="00751E5F" w:rsidP="00C01508">
      <w:pPr>
        <w:pStyle w:val="NoSpacing"/>
        <w:numPr>
          <w:ilvl w:val="0"/>
          <w:numId w:val="15"/>
        </w:numPr>
        <w:spacing w:line="276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Evidencije vezane za servisiranje aparata</w:t>
      </w:r>
      <w:r w:rsidRPr="00751E5F">
        <w:rPr>
          <w:rFonts w:ascii="Times New Roman" w:hAnsi="Times New Roman"/>
          <w:bCs/>
          <w:color w:val="000000"/>
        </w:rPr>
        <w:t>, sa planom preventivnog servisnog održavanja</w:t>
      </w:r>
      <w:r>
        <w:rPr>
          <w:rFonts w:ascii="Times New Roman" w:hAnsi="Times New Roman"/>
          <w:bCs/>
          <w:color w:val="000000"/>
        </w:rPr>
        <w:t xml:space="preserve"> i pratećom dokumentacijom o servisnim popravkama i održavanju</w:t>
      </w:r>
    </w:p>
    <w:p w:rsidR="00135850" w:rsidRDefault="00135850" w:rsidP="000F75AC">
      <w:pPr>
        <w:pStyle w:val="NoSpacing"/>
        <w:spacing w:after="120" w:line="276" w:lineRule="auto"/>
        <w:rPr>
          <w:rFonts w:ascii="Times New Roman" w:hAnsi="Times New Roman"/>
        </w:rPr>
      </w:pPr>
    </w:p>
    <w:p w:rsidR="001E496E" w:rsidRDefault="0013425B" w:rsidP="000F75AC">
      <w:pPr>
        <w:pStyle w:val="NoSpacing"/>
        <w:spacing w:after="120" w:line="276" w:lineRule="auto"/>
        <w:rPr>
          <w:rFonts w:ascii="Times New Roman" w:hAnsi="Times New Roman"/>
          <w:sz w:val="28"/>
          <w:szCs w:val="28"/>
        </w:rPr>
      </w:pPr>
      <w:r w:rsidRPr="007B1DE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OPIS PROCESA RADA</w:t>
      </w:r>
      <w:r w:rsidR="004E5FEF" w:rsidRPr="007B1DE4">
        <w:rPr>
          <w:rFonts w:ascii="Times New Roman" w:hAnsi="Times New Roman"/>
          <w:sz w:val="28"/>
          <w:szCs w:val="28"/>
        </w:rPr>
        <w:t xml:space="preserve"> </w:t>
      </w:r>
    </w:p>
    <w:p w:rsidR="00197B3C" w:rsidRDefault="00197B3C" w:rsidP="000F75AC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197B3C" w:rsidRDefault="00D73020" w:rsidP="000F75A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      </w:t>
      </w:r>
      <w:r w:rsidR="00197B3C">
        <w:rPr>
          <w:rFonts w:ascii="Times New Roman" w:hAnsi="Times New Roman" w:cs="Times New Roman"/>
          <w:sz w:val="24"/>
          <w:szCs w:val="24"/>
          <w:lang w:val="es-ES_tradnl"/>
        </w:rPr>
        <w:t>Proces rada u nuklearno-medicinskom centru (i) sa predmetnog aspekta predstavlja jedan povezan sistem. Uključivanje, odnosno isključivanje uređaja i aparata vrši se prema definisanim procedurama. Prati se definisana signalizacija i komande. Prov</w:t>
      </w:r>
      <w:r w:rsidR="001E496E">
        <w:rPr>
          <w:rFonts w:ascii="Times New Roman" w:hAnsi="Times New Roman" w:cs="Times New Roman"/>
          <w:sz w:val="24"/>
          <w:szCs w:val="24"/>
          <w:lang w:val="es-ES_tradnl"/>
        </w:rPr>
        <w:t xml:space="preserve">eravaju se ambijentalni uslovi, </w:t>
      </w:r>
      <w:r w:rsidR="00197B3C">
        <w:rPr>
          <w:rFonts w:ascii="Times New Roman" w:hAnsi="Times New Roman" w:cs="Times New Roman"/>
          <w:sz w:val="24"/>
          <w:szCs w:val="24"/>
          <w:lang w:val="es-ES_tradnl"/>
        </w:rPr>
        <w:t>eve</w:t>
      </w:r>
      <w:r w:rsidR="001E496E">
        <w:rPr>
          <w:rFonts w:ascii="Times New Roman" w:hAnsi="Times New Roman" w:cs="Times New Roman"/>
          <w:sz w:val="24"/>
          <w:szCs w:val="24"/>
          <w:lang w:val="es-ES_tradnl"/>
        </w:rPr>
        <w:t>ntualno prisustvo kontaminacije i drugi faktori koje spadaju u specifičnosti nuklearno-medicinskog procesa.</w:t>
      </w:r>
      <w:r w:rsidR="00197B3C">
        <w:rPr>
          <w:rFonts w:ascii="Times New Roman" w:hAnsi="Times New Roman" w:cs="Times New Roman"/>
          <w:sz w:val="24"/>
          <w:szCs w:val="24"/>
          <w:lang w:val="es-ES_tradnl"/>
        </w:rPr>
        <w:t xml:space="preserve"> Utvrđuje se da li su ustvareni </w:t>
      </w:r>
      <w:r w:rsidR="001E496E">
        <w:rPr>
          <w:rFonts w:ascii="Times New Roman" w:hAnsi="Times New Roman" w:cs="Times New Roman"/>
          <w:sz w:val="24"/>
          <w:szCs w:val="24"/>
          <w:lang w:val="es-ES_tradnl"/>
        </w:rPr>
        <w:t xml:space="preserve">svi </w:t>
      </w:r>
      <w:r w:rsidR="00197B3C">
        <w:rPr>
          <w:rFonts w:ascii="Times New Roman" w:hAnsi="Times New Roman" w:cs="Times New Roman"/>
          <w:sz w:val="24"/>
          <w:szCs w:val="24"/>
          <w:lang w:val="es-ES_tradnl"/>
        </w:rPr>
        <w:t xml:space="preserve">preduslovi sa aspekta zaštite od jonizujućih zračenja. Testira se rad uređaja (npr. kod nuklearno-medicinskih dijagnostičkih uređaja pomeranje gentrija, pacijent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stola, rad lasera za pozicioniranje, ispravnost senzora autokontura itd.). Sve navedene procedure izrađene su od strane medicinskih fizičara Centra. </w:t>
      </w:r>
    </w:p>
    <w:p w:rsidR="00D73020" w:rsidRDefault="00D73020" w:rsidP="000F75A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E51FA5" w:rsidRDefault="00D73020" w:rsidP="000F75A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    </w:t>
      </w:r>
      <w:r w:rsidR="008E2AB8">
        <w:rPr>
          <w:rFonts w:ascii="Times New Roman" w:hAnsi="Times New Roman" w:cs="Times New Roman"/>
          <w:sz w:val="24"/>
          <w:szCs w:val="24"/>
          <w:lang w:val="es-ES_tradnl"/>
        </w:rPr>
        <w:t xml:space="preserve">  </w:t>
      </w:r>
      <w:r w:rsidR="00E51FA5">
        <w:rPr>
          <w:rFonts w:ascii="Times New Roman" w:hAnsi="Times New Roman" w:cs="Times New Roman"/>
          <w:sz w:val="24"/>
          <w:szCs w:val="24"/>
          <w:lang w:val="es-ES_tradnl"/>
        </w:rPr>
        <w:t>Na nedeljnom nivou medicinski fizičari po utvrđenom rasporedu vrše detaljnu vizuelnu i funkcionalnu proveru svih uređaja (uključujući radne stanice i sve druge aksesorije), kao i svih pratećih aparata.</w:t>
      </w:r>
    </w:p>
    <w:p w:rsidR="00E51FA5" w:rsidRDefault="00E51FA5" w:rsidP="000F75A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D73020" w:rsidRDefault="00E51FA5" w:rsidP="000F75A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     </w:t>
      </w:r>
      <w:r w:rsidR="008E2AB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D73020">
        <w:rPr>
          <w:rFonts w:ascii="Times New Roman" w:hAnsi="Times New Roman" w:cs="Times New Roman"/>
          <w:sz w:val="24"/>
          <w:szCs w:val="24"/>
          <w:lang w:val="es-ES_tradnl"/>
        </w:rPr>
        <w:t xml:space="preserve">Procedure za kontrolu kvaliteta uređaja i aparata se sprovode u definisanim vremenskim intervalima,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obično </w:t>
      </w:r>
      <w:r w:rsidR="00D73020">
        <w:rPr>
          <w:rFonts w:ascii="Times New Roman" w:hAnsi="Times New Roman" w:cs="Times New Roman"/>
          <w:sz w:val="24"/>
          <w:szCs w:val="24"/>
          <w:lang w:val="es-ES_tradnl"/>
        </w:rPr>
        <w:t>pre početka kliničkog rada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(za složene je potrebno odvojiti više sati, pa se sprovode van radnog vremena, odnosno ako/kad nema zakazanih pacijenata)</w:t>
      </w:r>
      <w:r w:rsidR="00D73020">
        <w:rPr>
          <w:rFonts w:ascii="Times New Roman" w:hAnsi="Times New Roman" w:cs="Times New Roman"/>
          <w:sz w:val="24"/>
          <w:szCs w:val="24"/>
          <w:lang w:val="es-ES_tradnl"/>
        </w:rPr>
        <w:t xml:space="preserve">, i o tome se vodi odgovarajuća dokumentacija.  Rutinski deo sprovode radiološki tehničari samostalno, kompleksnije procedure vrše (ili nadziru)  medicinski fizičari.   </w:t>
      </w:r>
      <w:r w:rsidR="001E496E">
        <w:rPr>
          <w:rFonts w:ascii="Times New Roman" w:hAnsi="Times New Roman" w:cs="Times New Roman"/>
          <w:sz w:val="24"/>
          <w:szCs w:val="24"/>
          <w:lang w:val="es-ES_tradnl"/>
        </w:rPr>
        <w:t xml:space="preserve">Ako se ispostavi da je potrebno, medicinski fizičari vrše odgovarajuće osposobljavanje rada uređaja, osnosno potrebna prepodešavanja. </w:t>
      </w:r>
    </w:p>
    <w:p w:rsidR="00197B3C" w:rsidRDefault="00197B3C" w:rsidP="000F75A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810A6B" w:rsidRDefault="00D73020" w:rsidP="000F75A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     </w:t>
      </w:r>
      <w:r w:rsidR="00165E3B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E51FA5">
        <w:rPr>
          <w:rFonts w:ascii="Times New Roman" w:hAnsi="Times New Roman" w:cs="Times New Roman"/>
          <w:sz w:val="24"/>
          <w:szCs w:val="24"/>
          <w:lang w:val="es-ES_tradnl"/>
        </w:rPr>
        <w:t xml:space="preserve">Ukoliko dođe do problema koji ne može </w:t>
      </w:r>
      <w:r w:rsidR="00C01508">
        <w:rPr>
          <w:rFonts w:ascii="Times New Roman" w:hAnsi="Times New Roman" w:cs="Times New Roman"/>
          <w:sz w:val="24"/>
          <w:szCs w:val="24"/>
          <w:lang w:val="es-ES_tradnl"/>
        </w:rPr>
        <w:t xml:space="preserve">da se reši </w:t>
      </w:r>
      <w:r w:rsidR="001E496E">
        <w:rPr>
          <w:rFonts w:ascii="Times New Roman" w:hAnsi="Times New Roman" w:cs="Times New Roman"/>
          <w:sz w:val="24"/>
          <w:szCs w:val="24"/>
          <w:lang w:val="es-ES_tradnl"/>
        </w:rPr>
        <w:t>interno</w:t>
      </w:r>
      <w:r w:rsidR="00C01508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1E496E">
        <w:rPr>
          <w:rFonts w:ascii="Times New Roman" w:hAnsi="Times New Roman" w:cs="Times New Roman"/>
          <w:sz w:val="24"/>
          <w:szCs w:val="24"/>
          <w:lang w:val="es-ES_tradnl"/>
        </w:rPr>
        <w:t xml:space="preserve"> piše se servisni poziv i odmah </w:t>
      </w:r>
      <w:r w:rsidR="008E2AB8">
        <w:rPr>
          <w:rFonts w:ascii="Times New Roman" w:hAnsi="Times New Roman" w:cs="Times New Roman"/>
          <w:sz w:val="24"/>
          <w:szCs w:val="24"/>
          <w:lang w:val="es-ES_tradnl"/>
        </w:rPr>
        <w:t xml:space="preserve">se </w:t>
      </w:r>
      <w:r w:rsidR="00C01508">
        <w:rPr>
          <w:rFonts w:ascii="Times New Roman" w:hAnsi="Times New Roman" w:cs="Times New Roman"/>
          <w:sz w:val="24"/>
          <w:szCs w:val="24"/>
          <w:lang w:val="es-ES_tradnl"/>
        </w:rPr>
        <w:t xml:space="preserve">isti </w:t>
      </w:r>
      <w:r w:rsidR="001E496E">
        <w:rPr>
          <w:rFonts w:ascii="Times New Roman" w:hAnsi="Times New Roman" w:cs="Times New Roman"/>
          <w:sz w:val="24"/>
          <w:szCs w:val="24"/>
          <w:lang w:val="es-ES_tradnl"/>
        </w:rPr>
        <w:t>prosleđuje Službi za tehničke i druge poslove.</w:t>
      </w:r>
      <w:r w:rsidR="00C73113">
        <w:rPr>
          <w:rFonts w:ascii="Times New Roman" w:hAnsi="Times New Roman" w:cs="Times New Roman"/>
          <w:sz w:val="24"/>
          <w:szCs w:val="24"/>
          <w:lang w:val="es-ES_tradnl"/>
        </w:rPr>
        <w:t xml:space="preserve"> U potencijalno incidentnim situacijama, kada dođe do kvara nuklearno-medicinskog dijagnostičkog uređaja u toku kliničkog procesa (kada su pacijenti već primili administriranu aktivnost), obaveštenje se odmah upućuje i telefonski. Što se tiče PET dijagnostike, obzirom na kratko vreme poluraspada i odgovarajući servisni ugovor, svaka utvrđena nepravilnost u radu od strane medicinskog fizičara se odmah signalizira </w:t>
      </w:r>
      <w:r w:rsidR="008E2AB8">
        <w:rPr>
          <w:rFonts w:ascii="Times New Roman" w:hAnsi="Times New Roman" w:cs="Times New Roman"/>
          <w:sz w:val="24"/>
          <w:szCs w:val="24"/>
          <w:lang w:val="es-ES_tradnl"/>
        </w:rPr>
        <w:t xml:space="preserve">telefonski i uz odobrenje </w:t>
      </w:r>
      <w:r w:rsidR="00C7311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8E2AB8">
        <w:rPr>
          <w:rFonts w:ascii="Times New Roman" w:hAnsi="Times New Roman" w:cs="Times New Roman"/>
          <w:sz w:val="24"/>
          <w:szCs w:val="24"/>
          <w:lang w:val="es-ES_tradnl"/>
        </w:rPr>
        <w:t>Službe za tehničke i druge poslove i direktno se uspostavlja komunikacija sa ovlašćenim servisom (ugovorom je definisan servisni odziv za manje od 2 h).</w:t>
      </w:r>
    </w:p>
    <w:p w:rsidR="00810A6B" w:rsidRDefault="00810A6B" w:rsidP="000F75A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197B3C" w:rsidRDefault="001E496E" w:rsidP="000F75A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   </w:t>
      </w:r>
      <w:r w:rsidR="008E2AB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 </w:t>
      </w:r>
      <w:r w:rsidR="00C73113">
        <w:rPr>
          <w:rFonts w:ascii="Times New Roman" w:hAnsi="Times New Roman" w:cs="Times New Roman"/>
          <w:sz w:val="24"/>
          <w:szCs w:val="24"/>
          <w:lang w:val="es-ES_tradnl"/>
        </w:rPr>
        <w:t xml:space="preserve">Nakon izvršenog servisa, </w:t>
      </w:r>
      <w:r w:rsidR="00810A6B">
        <w:rPr>
          <w:rFonts w:ascii="Times New Roman" w:hAnsi="Times New Roman" w:cs="Times New Roman"/>
          <w:sz w:val="24"/>
          <w:szCs w:val="24"/>
          <w:lang w:val="es-ES_tradnl"/>
        </w:rPr>
        <w:t>ispravnost proverava medicinski fizičar. Često je potrebno da se izvrši dodatna kontrola kvaliteta</w:t>
      </w:r>
      <w:r w:rsidR="008E2AB8">
        <w:rPr>
          <w:rFonts w:ascii="Times New Roman" w:hAnsi="Times New Roman" w:cs="Times New Roman"/>
          <w:sz w:val="24"/>
          <w:szCs w:val="24"/>
          <w:lang w:val="es-ES_tradnl"/>
        </w:rPr>
        <w:t>. Medicinski fizičar</w:t>
      </w:r>
      <w:r w:rsidR="00810A6B">
        <w:rPr>
          <w:rFonts w:ascii="Times New Roman" w:hAnsi="Times New Roman" w:cs="Times New Roman"/>
          <w:sz w:val="24"/>
          <w:szCs w:val="24"/>
          <w:lang w:val="es-ES_tradnl"/>
        </w:rPr>
        <w:t xml:space="preserve"> jedini ima ovlašćenje da potpiše odgovarajući radni nalog. Jedan primerak radnog naloga se arhivira u Centru. Pisana informacija o servisu se beleži u matični karton uređaja. Ukoliko je neohodno da se aparat ili deo uređaja ponese na popravku u servisu, spovodi se primopredajni protokol </w:t>
      </w:r>
      <w:r w:rsidR="00C01508">
        <w:rPr>
          <w:rFonts w:ascii="Times New Roman" w:hAnsi="Times New Roman" w:cs="Times New Roman"/>
          <w:sz w:val="24"/>
          <w:szCs w:val="24"/>
          <w:lang w:val="es-ES_tradnl"/>
        </w:rPr>
        <w:t xml:space="preserve">sa ovlašćenim servisom sa kojim Klinički centar Srbije ima ugovor, </w:t>
      </w:r>
      <w:r w:rsidR="00810A6B">
        <w:rPr>
          <w:rFonts w:ascii="Times New Roman" w:hAnsi="Times New Roman" w:cs="Times New Roman"/>
          <w:sz w:val="24"/>
          <w:szCs w:val="24"/>
          <w:lang w:val="es-ES_tradnl"/>
        </w:rPr>
        <w:t xml:space="preserve">sa reversom koji sadrži sve relevantne informacije. </w:t>
      </w:r>
    </w:p>
    <w:p w:rsidR="004B6988" w:rsidRPr="007B1DE4" w:rsidRDefault="004B6988" w:rsidP="000F75A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B6662" w:rsidRPr="007B1DE4" w:rsidRDefault="004B6662" w:rsidP="000F75A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4E5FEF" w:rsidRDefault="004B6988" w:rsidP="000F75A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</w:pPr>
      <w:r w:rsidRPr="007B1DE4"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>EVIDENCIJA/ZAPISI</w:t>
      </w:r>
      <w:r w:rsidR="00CC1E52" w:rsidRPr="007B1DE4"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 xml:space="preserve"> </w:t>
      </w:r>
    </w:p>
    <w:p w:rsidR="00810A6B" w:rsidRDefault="00810A6B" w:rsidP="000F75A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</w:pPr>
    </w:p>
    <w:p w:rsidR="00810A6B" w:rsidRPr="001E496E" w:rsidRDefault="00810A6B" w:rsidP="000F75AC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1E496E">
        <w:rPr>
          <w:rFonts w:ascii="Times New Roman" w:hAnsi="Times New Roman" w:cs="Times New Roman"/>
          <w:sz w:val="24"/>
          <w:szCs w:val="24"/>
          <w:lang w:val="sr-Latn-CS"/>
        </w:rPr>
        <w:t>Spisak opreme</w:t>
      </w:r>
    </w:p>
    <w:p w:rsidR="00810A6B" w:rsidRPr="001E496E" w:rsidRDefault="00810A6B" w:rsidP="000F75AC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1E496E">
        <w:rPr>
          <w:rFonts w:ascii="Times New Roman" w:hAnsi="Times New Roman" w:cs="Times New Roman"/>
          <w:sz w:val="24"/>
          <w:szCs w:val="24"/>
          <w:lang w:val="sr-Latn-CS"/>
        </w:rPr>
        <w:t>Ček liste</w:t>
      </w:r>
    </w:p>
    <w:p w:rsidR="00810A6B" w:rsidRPr="001E496E" w:rsidRDefault="00810A6B" w:rsidP="000F75AC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1E496E">
        <w:rPr>
          <w:rFonts w:ascii="Times New Roman" w:hAnsi="Times New Roman" w:cs="Times New Roman"/>
          <w:sz w:val="24"/>
          <w:szCs w:val="24"/>
          <w:lang w:val="sr-Latn-CS"/>
        </w:rPr>
        <w:t>Izveštaji o izvršenim kontrolama kvaliteta</w:t>
      </w:r>
    </w:p>
    <w:p w:rsidR="00810A6B" w:rsidRPr="001E496E" w:rsidRDefault="00810A6B" w:rsidP="000F75AC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1E496E">
        <w:rPr>
          <w:rFonts w:ascii="Times New Roman" w:hAnsi="Times New Roman" w:cs="Times New Roman"/>
          <w:sz w:val="24"/>
          <w:szCs w:val="24"/>
          <w:lang w:val="sr-Latn-CS"/>
        </w:rPr>
        <w:t>Matični kartoni</w:t>
      </w:r>
    </w:p>
    <w:p w:rsidR="00810A6B" w:rsidRPr="001E496E" w:rsidRDefault="00810A6B" w:rsidP="000F75AC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1E496E">
        <w:rPr>
          <w:rFonts w:ascii="Times New Roman" w:hAnsi="Times New Roman" w:cs="Times New Roman"/>
          <w:sz w:val="24"/>
          <w:szCs w:val="24"/>
          <w:lang w:val="sr-Latn-CS"/>
        </w:rPr>
        <w:t>Servisni ugovori</w:t>
      </w:r>
    </w:p>
    <w:p w:rsidR="00810A6B" w:rsidRPr="001E496E" w:rsidRDefault="00810A6B" w:rsidP="000F75AC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1E496E">
        <w:rPr>
          <w:rFonts w:ascii="Times New Roman" w:hAnsi="Times New Roman" w:cs="Times New Roman"/>
          <w:sz w:val="24"/>
          <w:szCs w:val="24"/>
          <w:lang w:val="sr-Latn-CS"/>
        </w:rPr>
        <w:t>Servisni pozivi</w:t>
      </w:r>
    </w:p>
    <w:p w:rsidR="00810A6B" w:rsidRPr="001E496E" w:rsidRDefault="00810A6B" w:rsidP="000F75AC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1E496E">
        <w:rPr>
          <w:rFonts w:ascii="Times New Roman" w:hAnsi="Times New Roman" w:cs="Times New Roman"/>
          <w:sz w:val="24"/>
          <w:szCs w:val="24"/>
          <w:lang w:val="sr-Latn-CS"/>
        </w:rPr>
        <w:t>Servisni radni nalozi</w:t>
      </w:r>
    </w:p>
    <w:p w:rsidR="00810A6B" w:rsidRPr="001E496E" w:rsidRDefault="00810A6B" w:rsidP="000F75A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1E496E">
        <w:rPr>
          <w:rFonts w:ascii="Times New Roman" w:hAnsi="Times New Roman" w:cs="Times New Roman"/>
          <w:sz w:val="24"/>
          <w:szCs w:val="24"/>
          <w:lang w:val="sr-Latn-CS"/>
        </w:rPr>
        <w:t>Primopredajni reversi</w:t>
      </w:r>
    </w:p>
    <w:p w:rsidR="004B6662" w:rsidRPr="007B1DE4" w:rsidRDefault="004B6662" w:rsidP="000F75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CF21A3" w:rsidRPr="007B1DE4" w:rsidRDefault="00CF21A3" w:rsidP="000F75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4E5FEF" w:rsidRDefault="004E5FEF" w:rsidP="000F75AC">
      <w:pPr>
        <w:pStyle w:val="NoSpacing"/>
        <w:spacing w:after="120"/>
        <w:rPr>
          <w:rFonts w:ascii="Times New Roman" w:hAnsi="Times New Roman"/>
          <w:b/>
          <w:bCs/>
          <w:color w:val="000000"/>
          <w:u w:val="single"/>
        </w:rPr>
      </w:pPr>
      <w:r w:rsidRPr="007B1DE4">
        <w:rPr>
          <w:rFonts w:ascii="Times New Roman" w:hAnsi="Times New Roman"/>
          <w:b/>
          <w:bCs/>
          <w:color w:val="000000"/>
          <w:u w:val="single"/>
        </w:rPr>
        <w:t>ODGOVORNOST:</w:t>
      </w:r>
    </w:p>
    <w:p w:rsidR="00DD0C9C" w:rsidRPr="007B1DE4" w:rsidRDefault="00DD0C9C" w:rsidP="000F75AC">
      <w:pPr>
        <w:pStyle w:val="NoSpacing"/>
        <w:spacing w:after="120"/>
        <w:rPr>
          <w:rFonts w:ascii="Times New Roman" w:hAnsi="Times New Roman"/>
          <w:b/>
          <w:bCs/>
          <w:color w:val="000000"/>
          <w:u w:val="single"/>
        </w:rPr>
      </w:pPr>
    </w:p>
    <w:p w:rsidR="00DD0C9C" w:rsidRDefault="0025649A" w:rsidP="000F75AC">
      <w:pPr>
        <w:spacing w:after="0"/>
        <w:ind w:right="-90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B1DE4">
        <w:rPr>
          <w:rFonts w:ascii="Times New Roman" w:hAnsi="Times New Roman" w:cs="Times New Roman"/>
          <w:sz w:val="24"/>
          <w:szCs w:val="24"/>
          <w:lang w:val="sr-Latn-CS"/>
        </w:rPr>
        <w:t>Za sprovodjenje ove procedure odgovorni</w:t>
      </w:r>
      <w:r w:rsidR="00DD0C9C">
        <w:rPr>
          <w:rFonts w:ascii="Times New Roman" w:hAnsi="Times New Roman" w:cs="Times New Roman"/>
          <w:sz w:val="24"/>
          <w:szCs w:val="24"/>
          <w:lang w:val="sr-Latn-CS"/>
        </w:rPr>
        <w:t xml:space="preserve"> su medicinski fizičari.</w:t>
      </w:r>
    </w:p>
    <w:p w:rsidR="004B6662" w:rsidRPr="007B1DE4" w:rsidRDefault="004B6662" w:rsidP="000F75AC">
      <w:pPr>
        <w:spacing w:after="80"/>
        <w:ind w:right="-9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sr-Latn-CS"/>
        </w:rPr>
      </w:pPr>
    </w:p>
    <w:p w:rsidR="004E5FEF" w:rsidRPr="007B1DE4" w:rsidRDefault="004B6662" w:rsidP="000F75AC">
      <w:pPr>
        <w:spacing w:after="80"/>
        <w:ind w:right="-900"/>
        <w:jc w:val="both"/>
        <w:rPr>
          <w:rFonts w:ascii="Times New Roman" w:hAnsi="Times New Roman" w:cs="Times New Roman"/>
          <w:color w:val="000000"/>
          <w:sz w:val="28"/>
          <w:szCs w:val="28"/>
          <w:lang w:val="sr-Latn-CS"/>
        </w:rPr>
      </w:pPr>
      <w:r w:rsidRPr="007B1DE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sr-Latn-CS"/>
        </w:rPr>
        <w:t>PRILOZI</w:t>
      </w:r>
      <w:r w:rsidR="004E5FEF" w:rsidRPr="007B1DE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sr-Latn-CS"/>
        </w:rPr>
        <w:t>:</w:t>
      </w:r>
      <w:r w:rsidR="004E5FEF" w:rsidRPr="007B1DE4">
        <w:rPr>
          <w:rFonts w:ascii="Times New Roman" w:hAnsi="Times New Roman" w:cs="Times New Roman"/>
          <w:color w:val="000000"/>
          <w:sz w:val="28"/>
          <w:szCs w:val="28"/>
          <w:lang w:val="sr-Latn-CS"/>
        </w:rPr>
        <w:t xml:space="preserve"> </w:t>
      </w:r>
      <w:r w:rsidR="00197B3C">
        <w:rPr>
          <w:rFonts w:ascii="Times New Roman" w:hAnsi="Times New Roman" w:cs="Times New Roman"/>
          <w:color w:val="000000"/>
          <w:sz w:val="28"/>
          <w:szCs w:val="28"/>
          <w:lang w:val="sr-Latn-CS"/>
        </w:rPr>
        <w:br/>
      </w:r>
    </w:p>
    <w:p w:rsidR="00A81AFA" w:rsidRPr="00CF21A3" w:rsidRDefault="00CF21A3" w:rsidP="000F75A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A75F8">
        <w:rPr>
          <w:rFonts w:ascii="Times New Roman" w:hAnsi="Times New Roman" w:cs="Times New Roman"/>
          <w:sz w:val="24"/>
          <w:szCs w:val="24"/>
          <w:lang w:val="sr-Latn-CS"/>
        </w:rPr>
        <w:t>Zakon o radijacionoj i nuklearnoj sigurnosti i be</w:t>
      </w:r>
      <w:r>
        <w:rPr>
          <w:rFonts w:ascii="Times New Roman" w:hAnsi="Times New Roman" w:cs="Times New Roman"/>
          <w:sz w:val="24"/>
          <w:szCs w:val="24"/>
          <w:lang w:val="sr-Latn-CS"/>
        </w:rPr>
        <w:t>zbednosti (Sl. gl. RS br. 95/18</w:t>
      </w:r>
      <w:r w:rsidRPr="000A75F8">
        <w:rPr>
          <w:rFonts w:ascii="Times New Roman" w:hAnsi="Times New Roman" w:cs="Times New Roman"/>
          <w:sz w:val="24"/>
          <w:szCs w:val="24"/>
          <w:lang w:val="sr-Latn-CS"/>
        </w:rPr>
        <w:t>)</w:t>
      </w:r>
    </w:p>
    <w:p w:rsidR="00CF21A3" w:rsidRPr="00CF21A3" w:rsidRDefault="00CF21A3" w:rsidP="000F75A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Pravilnik o primeni izvora jonizujućih zračenja u medicini (Sl. gl. RS br. 1/12)</w:t>
      </w:r>
    </w:p>
    <w:p w:rsidR="00CF21A3" w:rsidRDefault="00CF21A3" w:rsidP="00CF2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88A" w:rsidRPr="007B1DE4" w:rsidRDefault="00FF188A" w:rsidP="002F0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4E5FEF" w:rsidRDefault="00FF188A" w:rsidP="008E2A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 w:rsidRPr="007B1DE4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LISTA DISTRIBUCIJA</w:t>
      </w:r>
    </w:p>
    <w:p w:rsidR="008E2AB8" w:rsidRPr="008E2AB8" w:rsidRDefault="008E2AB8" w:rsidP="008E2A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:rsidR="00FF188A" w:rsidRPr="007B1DE4" w:rsidRDefault="00FF188A" w:rsidP="003F46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B1DE4">
        <w:rPr>
          <w:rFonts w:ascii="Times New Roman" w:hAnsi="Times New Roman" w:cs="Times New Roman"/>
          <w:sz w:val="24"/>
          <w:szCs w:val="24"/>
          <w:lang w:val="sr-Latn-CS"/>
        </w:rPr>
        <w:t>Naziv dokumenta: ____________________________________________________________</w:t>
      </w:r>
    </w:p>
    <w:p w:rsidR="004E5FEF" w:rsidRPr="007B1DE4" w:rsidRDefault="00FF188A" w:rsidP="003F46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B1DE4">
        <w:rPr>
          <w:rFonts w:ascii="Times New Roman" w:hAnsi="Times New Roman" w:cs="Times New Roman"/>
          <w:sz w:val="24"/>
          <w:szCs w:val="24"/>
          <w:lang w:val="sr-Latn-CS"/>
        </w:rPr>
        <w:t>Datum: ______________  godine</w:t>
      </w:r>
    </w:p>
    <w:p w:rsidR="000B71B1" w:rsidRDefault="000B71B1" w:rsidP="003F46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bookmarkStart w:id="0" w:name="_GoBack"/>
      <w:bookmarkEnd w:id="0"/>
    </w:p>
    <w:p w:rsidR="000B71B1" w:rsidRDefault="000B71B1" w:rsidP="003F46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E136C" w:rsidRPr="007B1DE4" w:rsidRDefault="00BE136C" w:rsidP="003F46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E136C" w:rsidRPr="007B1DE4" w:rsidRDefault="00BE136C" w:rsidP="003F46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E5FEF" w:rsidRPr="007B1DE4" w:rsidRDefault="004E5FEF" w:rsidP="003F46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sectPr w:rsidR="004E5FEF" w:rsidRPr="007B1DE4" w:rsidSect="00023597">
      <w:headerReference w:type="default" r:id="rId8"/>
      <w:headerReference w:type="first" r:id="rId9"/>
      <w:pgSz w:w="11907" w:h="16839" w:code="9"/>
      <w:pgMar w:top="1440" w:right="1440" w:bottom="1440" w:left="1440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3BB" w:rsidRDefault="003513BB" w:rsidP="004765A0">
      <w:pPr>
        <w:spacing w:after="0" w:line="240" w:lineRule="auto"/>
      </w:pPr>
      <w:r>
        <w:separator/>
      </w:r>
    </w:p>
  </w:endnote>
  <w:endnote w:type="continuationSeparator" w:id="0">
    <w:p w:rsidR="003513BB" w:rsidRDefault="003513BB" w:rsidP="00476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3BB" w:rsidRDefault="003513BB" w:rsidP="004765A0">
      <w:pPr>
        <w:spacing w:after="0" w:line="240" w:lineRule="auto"/>
      </w:pPr>
      <w:r>
        <w:separator/>
      </w:r>
    </w:p>
  </w:footnote>
  <w:footnote w:type="continuationSeparator" w:id="0">
    <w:p w:rsidR="003513BB" w:rsidRDefault="003513BB" w:rsidP="00476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5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1871"/>
      <w:gridCol w:w="5655"/>
      <w:gridCol w:w="804"/>
      <w:gridCol w:w="1321"/>
    </w:tblGrid>
    <w:tr w:rsidR="004E5FEF" w:rsidRPr="00D6579E">
      <w:trPr>
        <w:trHeight w:val="563"/>
        <w:jc w:val="center"/>
      </w:trPr>
      <w:tc>
        <w:tcPr>
          <w:tcW w:w="1871" w:type="dxa"/>
          <w:vMerge w:val="restart"/>
          <w:vAlign w:val="center"/>
        </w:tcPr>
        <w:p w:rsidR="004E5FEF" w:rsidRPr="00D6579E" w:rsidRDefault="004E5FEF" w:rsidP="00D6579E">
          <w:pPr>
            <w:pStyle w:val="Header"/>
            <w:jc w:val="center"/>
            <w:rPr>
              <w:sz w:val="24"/>
              <w:szCs w:val="24"/>
            </w:rPr>
          </w:pPr>
        </w:p>
      </w:tc>
      <w:tc>
        <w:tcPr>
          <w:tcW w:w="5655" w:type="dxa"/>
          <w:vMerge w:val="restart"/>
          <w:vAlign w:val="center"/>
        </w:tcPr>
        <w:p w:rsidR="004E5FEF" w:rsidRPr="007B1DE4" w:rsidRDefault="004E5FEF" w:rsidP="00B02B30">
          <w:pPr>
            <w:pStyle w:val="Header"/>
            <w:jc w:val="center"/>
            <w:rPr>
              <w:rFonts w:ascii="Times New Roman" w:hAnsi="Times New Roman" w:cs="Times New Roman"/>
              <w:sz w:val="24"/>
              <w:szCs w:val="24"/>
              <w:lang w:val="it-IT"/>
            </w:rPr>
          </w:pPr>
          <w:r w:rsidRPr="007B1DE4">
            <w:rPr>
              <w:rFonts w:ascii="Times New Roman" w:hAnsi="Times New Roman" w:cs="Times New Roman"/>
              <w:sz w:val="24"/>
              <w:szCs w:val="24"/>
              <w:lang w:val="it-IT"/>
            </w:rPr>
            <w:t xml:space="preserve">PROCEDURA </w:t>
          </w:r>
          <w:r w:rsidR="00D53921" w:rsidRPr="007B1DE4">
            <w:rPr>
              <w:rFonts w:ascii="Times New Roman" w:hAnsi="Times New Roman" w:cs="Times New Roman"/>
              <w:sz w:val="24"/>
              <w:szCs w:val="24"/>
              <w:lang w:val="it-IT"/>
            </w:rPr>
            <w:t xml:space="preserve">ZA </w:t>
          </w:r>
          <w:r w:rsidR="00E94C1D" w:rsidRPr="007B1DE4">
            <w:rPr>
              <w:rFonts w:ascii="Times New Roman" w:hAnsi="Times New Roman" w:cs="Times New Roman"/>
              <w:sz w:val="24"/>
              <w:szCs w:val="24"/>
              <w:lang w:val="it-IT"/>
            </w:rPr>
            <w:t>PROVERU</w:t>
          </w:r>
          <w:r w:rsidR="00B02B30" w:rsidRPr="007B1DE4">
            <w:rPr>
              <w:rFonts w:ascii="Times New Roman" w:hAnsi="Times New Roman" w:cs="Times New Roman"/>
              <w:sz w:val="24"/>
              <w:szCs w:val="24"/>
              <w:lang w:val="it-IT"/>
            </w:rPr>
            <w:t xml:space="preserve"> ISPRAVNOSTI</w:t>
          </w:r>
          <w:r w:rsidR="00E94C1D" w:rsidRPr="007B1DE4">
            <w:rPr>
              <w:rFonts w:ascii="Times New Roman" w:hAnsi="Times New Roman" w:cs="Times New Roman"/>
              <w:sz w:val="24"/>
              <w:szCs w:val="24"/>
              <w:lang w:val="it-IT"/>
            </w:rPr>
            <w:t xml:space="preserve">, </w:t>
          </w:r>
          <w:r w:rsidR="00B02B30" w:rsidRPr="007B1DE4">
            <w:rPr>
              <w:rFonts w:ascii="Times New Roman" w:hAnsi="Times New Roman" w:cs="Times New Roman"/>
              <w:sz w:val="24"/>
              <w:szCs w:val="24"/>
              <w:lang w:val="it-IT"/>
            </w:rPr>
            <w:t xml:space="preserve">TEKUĆE </w:t>
          </w:r>
          <w:r w:rsidR="00E94C1D" w:rsidRPr="007B1DE4">
            <w:rPr>
              <w:rFonts w:ascii="Times New Roman" w:hAnsi="Times New Roman" w:cs="Times New Roman"/>
              <w:sz w:val="24"/>
              <w:szCs w:val="24"/>
              <w:lang w:val="it-IT"/>
            </w:rPr>
            <w:t>ODR</w:t>
          </w:r>
          <w:r w:rsidR="00E94C1D" w:rsidRPr="007B1DE4">
            <w:rPr>
              <w:rFonts w:ascii="Times New Roman" w:hAnsi="Times New Roman" w:cs="Times New Roman"/>
              <w:sz w:val="24"/>
              <w:szCs w:val="24"/>
              <w:lang w:val="sr-Latn-RS"/>
            </w:rPr>
            <w:t>ŽAVANJE</w:t>
          </w:r>
          <w:r w:rsidR="00B02B30" w:rsidRPr="007B1DE4">
            <w:rPr>
              <w:rFonts w:ascii="Times New Roman" w:hAnsi="Times New Roman" w:cs="Times New Roman"/>
              <w:sz w:val="24"/>
              <w:szCs w:val="24"/>
              <w:lang w:val="sr-Latn-RS"/>
            </w:rPr>
            <w:t xml:space="preserve"> I SERVISIRANJE KVAROVA</w:t>
          </w:r>
          <w:r w:rsidR="00E94C1D" w:rsidRPr="007B1DE4">
            <w:rPr>
              <w:rFonts w:ascii="Times New Roman" w:hAnsi="Times New Roman" w:cs="Times New Roman"/>
              <w:sz w:val="24"/>
              <w:szCs w:val="24"/>
              <w:lang w:val="sr-Latn-RS"/>
            </w:rPr>
            <w:t xml:space="preserve"> </w:t>
          </w:r>
          <w:r w:rsidR="00CF21A3">
            <w:rPr>
              <w:rFonts w:ascii="Times New Roman" w:hAnsi="Times New Roman" w:cs="Times New Roman"/>
              <w:sz w:val="24"/>
              <w:szCs w:val="24"/>
              <w:lang w:val="sr-Latn-RS"/>
            </w:rPr>
            <w:t xml:space="preserve">NA </w:t>
          </w:r>
          <w:r w:rsidR="00751E5F">
            <w:rPr>
              <w:rFonts w:ascii="Times New Roman" w:hAnsi="Times New Roman" w:cs="Times New Roman"/>
              <w:sz w:val="24"/>
              <w:szCs w:val="24"/>
              <w:lang w:val="sr-Latn-RS"/>
            </w:rPr>
            <w:t>U</w:t>
          </w:r>
          <w:r w:rsidR="00CF21A3">
            <w:rPr>
              <w:rFonts w:ascii="Times New Roman" w:hAnsi="Times New Roman" w:cs="Times New Roman"/>
              <w:sz w:val="24"/>
              <w:szCs w:val="24"/>
              <w:lang w:val="sr-Latn-RS"/>
            </w:rPr>
            <w:t>REĐAJIMA</w:t>
          </w:r>
          <w:r w:rsidR="00751E5F">
            <w:rPr>
              <w:rFonts w:ascii="Times New Roman" w:hAnsi="Times New Roman" w:cs="Times New Roman"/>
              <w:sz w:val="24"/>
              <w:szCs w:val="24"/>
              <w:lang w:val="sr-Latn-RS"/>
            </w:rPr>
            <w:t xml:space="preserve"> I </w:t>
          </w:r>
          <w:r w:rsidR="00CF21A3">
            <w:rPr>
              <w:rFonts w:ascii="Times New Roman" w:hAnsi="Times New Roman" w:cs="Times New Roman"/>
              <w:sz w:val="24"/>
              <w:szCs w:val="24"/>
              <w:lang w:val="sr-Latn-RS"/>
            </w:rPr>
            <w:t>APARATIMA</w:t>
          </w:r>
          <w:r w:rsidR="00E94C1D" w:rsidRPr="007B1DE4">
            <w:rPr>
              <w:rFonts w:ascii="Times New Roman" w:hAnsi="Times New Roman" w:cs="Times New Roman"/>
              <w:sz w:val="24"/>
              <w:szCs w:val="24"/>
              <w:lang w:val="sr-Latn-RS"/>
            </w:rPr>
            <w:t xml:space="preserve"> </w:t>
          </w:r>
        </w:p>
      </w:tc>
      <w:tc>
        <w:tcPr>
          <w:tcW w:w="804" w:type="dxa"/>
          <w:vAlign w:val="center"/>
        </w:tcPr>
        <w:p w:rsidR="004E5FEF" w:rsidRPr="007B1DE4" w:rsidRDefault="004E5FEF" w:rsidP="00D6579E">
          <w:pPr>
            <w:pStyle w:val="Header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7B1DE4">
            <w:rPr>
              <w:rFonts w:ascii="Times New Roman" w:hAnsi="Times New Roman" w:cs="Times New Roman"/>
              <w:sz w:val="24"/>
              <w:szCs w:val="24"/>
            </w:rPr>
            <w:t>Broj:</w:t>
          </w:r>
        </w:p>
      </w:tc>
      <w:tc>
        <w:tcPr>
          <w:tcW w:w="1321" w:type="dxa"/>
          <w:vAlign w:val="center"/>
        </w:tcPr>
        <w:p w:rsidR="004E5FEF" w:rsidRPr="007B1DE4" w:rsidRDefault="008E2AB8" w:rsidP="00D6579E">
          <w:pPr>
            <w:pStyle w:val="Header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1</w:t>
          </w:r>
        </w:p>
      </w:tc>
    </w:tr>
    <w:tr w:rsidR="004E5FEF" w:rsidRPr="00D6579E">
      <w:trPr>
        <w:trHeight w:val="272"/>
        <w:jc w:val="center"/>
      </w:trPr>
      <w:tc>
        <w:tcPr>
          <w:tcW w:w="1871" w:type="dxa"/>
          <w:vMerge/>
          <w:vAlign w:val="center"/>
        </w:tcPr>
        <w:p w:rsidR="004E5FEF" w:rsidRPr="00D6579E" w:rsidRDefault="004E5FEF" w:rsidP="00D6579E">
          <w:pPr>
            <w:pStyle w:val="Header"/>
            <w:jc w:val="center"/>
            <w:rPr>
              <w:sz w:val="24"/>
              <w:szCs w:val="24"/>
            </w:rPr>
          </w:pPr>
        </w:p>
      </w:tc>
      <w:tc>
        <w:tcPr>
          <w:tcW w:w="5655" w:type="dxa"/>
          <w:vMerge/>
          <w:vAlign w:val="center"/>
        </w:tcPr>
        <w:p w:rsidR="004E5FEF" w:rsidRPr="00D6579E" w:rsidRDefault="004E5FEF" w:rsidP="00D6579E">
          <w:pPr>
            <w:pStyle w:val="Header"/>
            <w:jc w:val="center"/>
            <w:rPr>
              <w:sz w:val="24"/>
              <w:szCs w:val="24"/>
            </w:rPr>
          </w:pPr>
        </w:p>
      </w:tc>
      <w:tc>
        <w:tcPr>
          <w:tcW w:w="2125" w:type="dxa"/>
          <w:gridSpan w:val="2"/>
          <w:vAlign w:val="center"/>
        </w:tcPr>
        <w:p w:rsidR="004E5FEF" w:rsidRPr="007B1DE4" w:rsidRDefault="004E5FEF" w:rsidP="0025649A">
          <w:pPr>
            <w:pStyle w:val="Header"/>
            <w:rPr>
              <w:rFonts w:ascii="Times New Roman" w:hAnsi="Times New Roman" w:cs="Times New Roman"/>
              <w:sz w:val="24"/>
              <w:szCs w:val="24"/>
            </w:rPr>
          </w:pPr>
          <w:r w:rsidRPr="007B1DE4">
            <w:rPr>
              <w:rFonts w:ascii="Times New Roman" w:hAnsi="Times New Roman" w:cs="Times New Roman"/>
              <w:sz w:val="24"/>
              <w:szCs w:val="24"/>
            </w:rPr>
            <w:t>Datum:</w:t>
          </w:r>
        </w:p>
      </w:tc>
    </w:tr>
    <w:tr w:rsidR="004E5FEF" w:rsidRPr="00D6579E">
      <w:trPr>
        <w:trHeight w:val="192"/>
        <w:jc w:val="center"/>
      </w:trPr>
      <w:tc>
        <w:tcPr>
          <w:tcW w:w="1871" w:type="dxa"/>
          <w:vMerge/>
          <w:vAlign w:val="center"/>
        </w:tcPr>
        <w:p w:rsidR="004E5FEF" w:rsidRPr="00D6579E" w:rsidRDefault="004E5FEF" w:rsidP="00D6579E">
          <w:pPr>
            <w:pStyle w:val="Header"/>
            <w:jc w:val="center"/>
            <w:rPr>
              <w:sz w:val="24"/>
              <w:szCs w:val="24"/>
            </w:rPr>
          </w:pPr>
        </w:p>
      </w:tc>
      <w:tc>
        <w:tcPr>
          <w:tcW w:w="5655" w:type="dxa"/>
          <w:vMerge/>
          <w:vAlign w:val="center"/>
        </w:tcPr>
        <w:p w:rsidR="004E5FEF" w:rsidRPr="00D6579E" w:rsidRDefault="004E5FEF" w:rsidP="00D6579E">
          <w:pPr>
            <w:pStyle w:val="Header"/>
            <w:jc w:val="center"/>
            <w:rPr>
              <w:sz w:val="24"/>
              <w:szCs w:val="24"/>
            </w:rPr>
          </w:pPr>
        </w:p>
      </w:tc>
      <w:tc>
        <w:tcPr>
          <w:tcW w:w="2125" w:type="dxa"/>
          <w:gridSpan w:val="2"/>
          <w:vAlign w:val="center"/>
        </w:tcPr>
        <w:p w:rsidR="004E5FEF" w:rsidRPr="007B1DE4" w:rsidRDefault="004E5FEF" w:rsidP="0025649A">
          <w:pPr>
            <w:spacing w:after="0" w:line="240" w:lineRule="auto"/>
            <w:rPr>
              <w:rFonts w:ascii="Times New Roman" w:hAnsi="Times New Roman" w:cs="Times New Roman"/>
            </w:rPr>
          </w:pPr>
          <w:r w:rsidRPr="007B1DE4">
            <w:rPr>
              <w:rFonts w:ascii="Times New Roman" w:hAnsi="Times New Roman" w:cs="Times New Roman"/>
              <w:sz w:val="24"/>
              <w:szCs w:val="24"/>
            </w:rPr>
            <w:t xml:space="preserve">Strana: </w:t>
          </w:r>
          <w:r w:rsidRPr="007B1DE4">
            <w:rPr>
              <w:rFonts w:ascii="Times New Roman" w:hAnsi="Times New Roman" w:cs="Times New Roman"/>
            </w:rPr>
            <w:t xml:space="preserve"> </w:t>
          </w:r>
          <w:r w:rsidR="00EF6ACA" w:rsidRPr="007B1DE4">
            <w:rPr>
              <w:rFonts w:ascii="Times New Roman" w:hAnsi="Times New Roman" w:cs="Times New Roman"/>
            </w:rPr>
            <w:fldChar w:fldCharType="begin"/>
          </w:r>
          <w:r w:rsidR="00EF6ACA" w:rsidRPr="007B1DE4">
            <w:rPr>
              <w:rFonts w:ascii="Times New Roman" w:hAnsi="Times New Roman" w:cs="Times New Roman"/>
            </w:rPr>
            <w:instrText xml:space="preserve"> PAGE </w:instrText>
          </w:r>
          <w:r w:rsidR="00EF6ACA" w:rsidRPr="007B1DE4">
            <w:rPr>
              <w:rFonts w:ascii="Times New Roman" w:hAnsi="Times New Roman" w:cs="Times New Roman"/>
            </w:rPr>
            <w:fldChar w:fldCharType="separate"/>
          </w:r>
          <w:r w:rsidR="005D3799">
            <w:rPr>
              <w:rFonts w:ascii="Times New Roman" w:hAnsi="Times New Roman" w:cs="Times New Roman"/>
              <w:noProof/>
            </w:rPr>
            <w:t>2</w:t>
          </w:r>
          <w:r w:rsidR="00EF6ACA" w:rsidRPr="007B1DE4">
            <w:rPr>
              <w:rFonts w:ascii="Times New Roman" w:hAnsi="Times New Roman" w:cs="Times New Roman"/>
              <w:noProof/>
            </w:rPr>
            <w:fldChar w:fldCharType="end"/>
          </w:r>
          <w:r w:rsidRPr="007B1DE4">
            <w:rPr>
              <w:rFonts w:ascii="Times New Roman" w:hAnsi="Times New Roman" w:cs="Times New Roman"/>
            </w:rPr>
            <w:t>/</w:t>
          </w:r>
          <w:r w:rsidR="004930D6" w:rsidRPr="007B1DE4">
            <w:rPr>
              <w:rFonts w:ascii="Times New Roman" w:hAnsi="Times New Roman" w:cs="Times New Roman"/>
            </w:rPr>
            <w:fldChar w:fldCharType="begin"/>
          </w:r>
          <w:r w:rsidR="004930D6" w:rsidRPr="007B1DE4">
            <w:rPr>
              <w:rFonts w:ascii="Times New Roman" w:hAnsi="Times New Roman" w:cs="Times New Roman"/>
            </w:rPr>
            <w:instrText xml:space="preserve"> NUMPAGES  </w:instrText>
          </w:r>
          <w:r w:rsidR="004930D6" w:rsidRPr="007B1DE4">
            <w:rPr>
              <w:rFonts w:ascii="Times New Roman" w:hAnsi="Times New Roman" w:cs="Times New Roman"/>
            </w:rPr>
            <w:fldChar w:fldCharType="separate"/>
          </w:r>
          <w:r w:rsidR="005D3799">
            <w:rPr>
              <w:rFonts w:ascii="Times New Roman" w:hAnsi="Times New Roman" w:cs="Times New Roman"/>
              <w:noProof/>
            </w:rPr>
            <w:t>4</w:t>
          </w:r>
          <w:r w:rsidR="004930D6" w:rsidRPr="007B1DE4">
            <w:rPr>
              <w:rFonts w:ascii="Times New Roman" w:hAnsi="Times New Roman" w:cs="Times New Roman"/>
              <w:noProof/>
            </w:rPr>
            <w:fldChar w:fldCharType="end"/>
          </w:r>
        </w:p>
      </w:tc>
    </w:tr>
  </w:tbl>
  <w:p w:rsidR="004E5FEF" w:rsidRDefault="004E5F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49A" w:rsidRDefault="0025649A" w:rsidP="0025649A">
    <w:pPr>
      <w:pStyle w:val="Header"/>
      <w:tabs>
        <w:tab w:val="clear" w:pos="4680"/>
        <w:tab w:val="clear" w:pos="9360"/>
        <w:tab w:val="center" w:pos="4513"/>
        <w:tab w:val="right" w:pos="9027"/>
      </w:tabs>
      <w:rPr>
        <w:b/>
        <w:noProof/>
        <w:sz w:val="16"/>
        <w:szCs w:val="16"/>
        <w:lang w:val="sr-Latn-RS" w:eastAsia="sr-Latn-RS"/>
      </w:rPr>
    </w:pPr>
    <w:r>
      <w:tab/>
    </w:r>
    <w:r w:rsidR="00BE5F5E">
      <w:rPr>
        <w:b/>
        <w:noProof/>
        <w:sz w:val="16"/>
        <w:szCs w:val="16"/>
      </w:rPr>
      <w:drawing>
        <wp:inline distT="0" distB="0" distL="0" distR="0">
          <wp:extent cx="733425" cy="733425"/>
          <wp:effectExtent l="0" t="0" r="9525" b="9525"/>
          <wp:docPr id="1" name="Picture 1" descr="KCS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CS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649A" w:rsidRPr="007B1DE4" w:rsidRDefault="0025649A" w:rsidP="0025649A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s-ES"/>
      </w:rPr>
    </w:pPr>
    <w:r w:rsidRPr="007B1DE4">
      <w:rPr>
        <w:rFonts w:ascii="Times New Roman" w:eastAsia="Times New Roman" w:hAnsi="Times New Roman" w:cs="Times New Roman"/>
        <w:sz w:val="18"/>
        <w:szCs w:val="18"/>
        <w:lang w:val="es-ES"/>
      </w:rPr>
      <w:t>Centar za nuklearnu medicinu,</w:t>
    </w:r>
  </w:p>
  <w:p w:rsidR="0025649A" w:rsidRPr="007B1DE4" w:rsidRDefault="0025649A" w:rsidP="0025649A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sr-Latn-RS"/>
      </w:rPr>
    </w:pPr>
    <w:r w:rsidRPr="007B1DE4">
      <w:rPr>
        <w:rFonts w:ascii="Times New Roman" w:eastAsia="Times New Roman" w:hAnsi="Times New Roman" w:cs="Times New Roman"/>
        <w:sz w:val="18"/>
        <w:szCs w:val="18"/>
        <w:lang w:val="es-ES"/>
      </w:rPr>
      <w:t>Klini</w:t>
    </w:r>
    <w:r w:rsidRPr="007B1DE4">
      <w:rPr>
        <w:rFonts w:ascii="Times New Roman" w:eastAsia="Times New Roman" w:hAnsi="Times New Roman" w:cs="Times New Roman"/>
        <w:sz w:val="18"/>
        <w:szCs w:val="18"/>
        <w:lang w:val="sr-Latn-RS"/>
      </w:rPr>
      <w:t>čki centar Srbije</w:t>
    </w:r>
  </w:p>
  <w:p w:rsidR="0025649A" w:rsidRPr="007B1DE4" w:rsidRDefault="0025649A" w:rsidP="0025649A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 w:rsidRPr="007B1DE4">
      <w:rPr>
        <w:rFonts w:ascii="Times New Roman" w:eastAsia="Times New Roman" w:hAnsi="Times New Roman" w:cs="Times New Roman"/>
        <w:sz w:val="18"/>
        <w:szCs w:val="18"/>
      </w:rPr>
      <w:t>Visegradska 26, 11000 Bograd, Srbija</w:t>
    </w:r>
  </w:p>
  <w:p w:rsidR="0025649A" w:rsidRPr="007B1DE4" w:rsidRDefault="0025649A" w:rsidP="0025649A">
    <w:pPr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7B1DE4">
      <w:rPr>
        <w:rFonts w:ascii="Times New Roman" w:hAnsi="Times New Roman" w:cs="Times New Roman"/>
        <w:sz w:val="18"/>
        <w:szCs w:val="18"/>
      </w:rPr>
      <w:t>Tel/fax +381113615641; +381113663354</w:t>
    </w:r>
  </w:p>
  <w:p w:rsidR="0025649A" w:rsidRPr="007B1DE4" w:rsidRDefault="0025649A" w:rsidP="0025649A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 w:rsidRPr="007B1DE4">
      <w:rPr>
        <w:rFonts w:ascii="Times New Roman" w:hAnsi="Times New Roman" w:cs="Times New Roman"/>
        <w:sz w:val="18"/>
        <w:szCs w:val="18"/>
      </w:rPr>
      <w:t>e-mail:</w:t>
    </w:r>
  </w:p>
  <w:p w:rsidR="004E5FEF" w:rsidRPr="0025649A" w:rsidRDefault="004E5FEF" w:rsidP="0025649A">
    <w:pPr>
      <w:pStyle w:val="Header"/>
      <w:tabs>
        <w:tab w:val="clear" w:pos="4680"/>
        <w:tab w:val="clear" w:pos="9360"/>
        <w:tab w:val="center" w:pos="4513"/>
        <w:tab w:val="right" w:pos="9027"/>
      </w:tabs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41ABC"/>
    <w:multiLevelType w:val="hybridMultilevel"/>
    <w:tmpl w:val="F740D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37A8A"/>
    <w:multiLevelType w:val="hybridMultilevel"/>
    <w:tmpl w:val="A54858E8"/>
    <w:lvl w:ilvl="0" w:tplc="0409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4B1274"/>
    <w:multiLevelType w:val="hybridMultilevel"/>
    <w:tmpl w:val="BAC25BE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45D6A"/>
    <w:multiLevelType w:val="hybridMultilevel"/>
    <w:tmpl w:val="B8AAC6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A8343A"/>
    <w:multiLevelType w:val="hybridMultilevel"/>
    <w:tmpl w:val="BD108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D1535"/>
    <w:multiLevelType w:val="hybridMultilevel"/>
    <w:tmpl w:val="22F09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B012D"/>
    <w:multiLevelType w:val="hybridMultilevel"/>
    <w:tmpl w:val="8924B7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5941D14"/>
    <w:multiLevelType w:val="hybridMultilevel"/>
    <w:tmpl w:val="943C3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62B93"/>
    <w:multiLevelType w:val="hybridMultilevel"/>
    <w:tmpl w:val="D2627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E5FD1"/>
    <w:multiLevelType w:val="hybridMultilevel"/>
    <w:tmpl w:val="5AAAC470"/>
    <w:lvl w:ilvl="0" w:tplc="928458C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0DD25F8"/>
    <w:multiLevelType w:val="multilevel"/>
    <w:tmpl w:val="A2B216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D2951B1"/>
    <w:multiLevelType w:val="hybridMultilevel"/>
    <w:tmpl w:val="EB662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F058E"/>
    <w:multiLevelType w:val="hybridMultilevel"/>
    <w:tmpl w:val="1B6E8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C42723"/>
    <w:multiLevelType w:val="hybridMultilevel"/>
    <w:tmpl w:val="3552F8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2831A7D"/>
    <w:multiLevelType w:val="hybridMultilevel"/>
    <w:tmpl w:val="D4AEA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F6FB6"/>
    <w:multiLevelType w:val="hybridMultilevel"/>
    <w:tmpl w:val="90245CC2"/>
    <w:lvl w:ilvl="0" w:tplc="C6844A44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A339A"/>
    <w:multiLevelType w:val="hybridMultilevel"/>
    <w:tmpl w:val="926E26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C651079"/>
    <w:multiLevelType w:val="hybridMultilevel"/>
    <w:tmpl w:val="28D60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4"/>
  </w:num>
  <w:num w:numId="5">
    <w:abstractNumId w:val="17"/>
  </w:num>
  <w:num w:numId="6">
    <w:abstractNumId w:val="12"/>
  </w:num>
  <w:num w:numId="7">
    <w:abstractNumId w:val="2"/>
  </w:num>
  <w:num w:numId="8">
    <w:abstractNumId w:val="9"/>
  </w:num>
  <w:num w:numId="9">
    <w:abstractNumId w:val="16"/>
  </w:num>
  <w:num w:numId="10">
    <w:abstractNumId w:val="13"/>
  </w:num>
  <w:num w:numId="11">
    <w:abstractNumId w:val="6"/>
  </w:num>
  <w:num w:numId="12">
    <w:abstractNumId w:val="10"/>
  </w:num>
  <w:num w:numId="13">
    <w:abstractNumId w:val="3"/>
  </w:num>
  <w:num w:numId="14">
    <w:abstractNumId w:val="1"/>
  </w:num>
  <w:num w:numId="15">
    <w:abstractNumId w:val="5"/>
  </w:num>
  <w:num w:numId="16">
    <w:abstractNumId w:val="15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E17"/>
    <w:rsid w:val="00007A17"/>
    <w:rsid w:val="000117AE"/>
    <w:rsid w:val="000130F9"/>
    <w:rsid w:val="00023597"/>
    <w:rsid w:val="00027199"/>
    <w:rsid w:val="00032B6D"/>
    <w:rsid w:val="000423A1"/>
    <w:rsid w:val="00042E78"/>
    <w:rsid w:val="0006221D"/>
    <w:rsid w:val="00066253"/>
    <w:rsid w:val="0006794F"/>
    <w:rsid w:val="000B71B1"/>
    <w:rsid w:val="000C6385"/>
    <w:rsid w:val="000F75AC"/>
    <w:rsid w:val="0013425B"/>
    <w:rsid w:val="00135850"/>
    <w:rsid w:val="0014701A"/>
    <w:rsid w:val="00150B87"/>
    <w:rsid w:val="0015493F"/>
    <w:rsid w:val="00156530"/>
    <w:rsid w:val="00165E3B"/>
    <w:rsid w:val="00197B3C"/>
    <w:rsid w:val="001C5DE9"/>
    <w:rsid w:val="001D751A"/>
    <w:rsid w:val="001E496E"/>
    <w:rsid w:val="001F3910"/>
    <w:rsid w:val="00203150"/>
    <w:rsid w:val="0020494D"/>
    <w:rsid w:val="00221998"/>
    <w:rsid w:val="002303A2"/>
    <w:rsid w:val="00253B42"/>
    <w:rsid w:val="0025649A"/>
    <w:rsid w:val="002805F8"/>
    <w:rsid w:val="002B1070"/>
    <w:rsid w:val="002C0837"/>
    <w:rsid w:val="002E5667"/>
    <w:rsid w:val="002F0245"/>
    <w:rsid w:val="002F359C"/>
    <w:rsid w:val="003047E2"/>
    <w:rsid w:val="003062D0"/>
    <w:rsid w:val="0031264B"/>
    <w:rsid w:val="00341CC0"/>
    <w:rsid w:val="0034464E"/>
    <w:rsid w:val="003513BB"/>
    <w:rsid w:val="0035389C"/>
    <w:rsid w:val="003562B7"/>
    <w:rsid w:val="00371F73"/>
    <w:rsid w:val="003812DE"/>
    <w:rsid w:val="00392953"/>
    <w:rsid w:val="003B7A8E"/>
    <w:rsid w:val="003C6A0C"/>
    <w:rsid w:val="003D5C21"/>
    <w:rsid w:val="003D5F4B"/>
    <w:rsid w:val="003F4651"/>
    <w:rsid w:val="00460487"/>
    <w:rsid w:val="004765A0"/>
    <w:rsid w:val="00485BF3"/>
    <w:rsid w:val="004930D6"/>
    <w:rsid w:val="004B6662"/>
    <w:rsid w:val="004B6988"/>
    <w:rsid w:val="004D46FE"/>
    <w:rsid w:val="004E5FEF"/>
    <w:rsid w:val="004F3C49"/>
    <w:rsid w:val="005164F7"/>
    <w:rsid w:val="00527003"/>
    <w:rsid w:val="005279F6"/>
    <w:rsid w:val="00531566"/>
    <w:rsid w:val="00547E17"/>
    <w:rsid w:val="00551601"/>
    <w:rsid w:val="00556C30"/>
    <w:rsid w:val="00590BB8"/>
    <w:rsid w:val="005A4F30"/>
    <w:rsid w:val="005B0CE1"/>
    <w:rsid w:val="005B639D"/>
    <w:rsid w:val="005D3799"/>
    <w:rsid w:val="005E7F41"/>
    <w:rsid w:val="005F067B"/>
    <w:rsid w:val="00610611"/>
    <w:rsid w:val="00622E42"/>
    <w:rsid w:val="006427D2"/>
    <w:rsid w:val="00653C4D"/>
    <w:rsid w:val="006824BD"/>
    <w:rsid w:val="006842BA"/>
    <w:rsid w:val="006C434E"/>
    <w:rsid w:val="00711F62"/>
    <w:rsid w:val="00751E5F"/>
    <w:rsid w:val="00786589"/>
    <w:rsid w:val="00795627"/>
    <w:rsid w:val="007B1DE4"/>
    <w:rsid w:val="007B6429"/>
    <w:rsid w:val="007E0EA9"/>
    <w:rsid w:val="007F275E"/>
    <w:rsid w:val="00810A6B"/>
    <w:rsid w:val="008260F3"/>
    <w:rsid w:val="008311BB"/>
    <w:rsid w:val="0085440B"/>
    <w:rsid w:val="00856767"/>
    <w:rsid w:val="008619C1"/>
    <w:rsid w:val="00880AAB"/>
    <w:rsid w:val="008865B0"/>
    <w:rsid w:val="00892FC1"/>
    <w:rsid w:val="008B4473"/>
    <w:rsid w:val="008D3408"/>
    <w:rsid w:val="008D673A"/>
    <w:rsid w:val="008E2AB8"/>
    <w:rsid w:val="009225DE"/>
    <w:rsid w:val="0093684E"/>
    <w:rsid w:val="00950DED"/>
    <w:rsid w:val="00955172"/>
    <w:rsid w:val="00983F6B"/>
    <w:rsid w:val="00984BC1"/>
    <w:rsid w:val="009A4F95"/>
    <w:rsid w:val="009B2243"/>
    <w:rsid w:val="009C30AE"/>
    <w:rsid w:val="009C57B8"/>
    <w:rsid w:val="00A045E8"/>
    <w:rsid w:val="00A1092B"/>
    <w:rsid w:val="00A1342E"/>
    <w:rsid w:val="00A621F6"/>
    <w:rsid w:val="00A65D9C"/>
    <w:rsid w:val="00A745E2"/>
    <w:rsid w:val="00A81AFA"/>
    <w:rsid w:val="00A9336B"/>
    <w:rsid w:val="00A94237"/>
    <w:rsid w:val="00AA39F3"/>
    <w:rsid w:val="00AA6D4C"/>
    <w:rsid w:val="00AB136B"/>
    <w:rsid w:val="00AB73A2"/>
    <w:rsid w:val="00AD56B2"/>
    <w:rsid w:val="00AE7D88"/>
    <w:rsid w:val="00B02B30"/>
    <w:rsid w:val="00B1160D"/>
    <w:rsid w:val="00B167B5"/>
    <w:rsid w:val="00B47AAD"/>
    <w:rsid w:val="00B53E5E"/>
    <w:rsid w:val="00B7582C"/>
    <w:rsid w:val="00B82BB9"/>
    <w:rsid w:val="00B82F48"/>
    <w:rsid w:val="00B96EC1"/>
    <w:rsid w:val="00BB1805"/>
    <w:rsid w:val="00BD7AC9"/>
    <w:rsid w:val="00BE0481"/>
    <w:rsid w:val="00BE0EB7"/>
    <w:rsid w:val="00BE136C"/>
    <w:rsid w:val="00BE5F5E"/>
    <w:rsid w:val="00BE6F15"/>
    <w:rsid w:val="00BF26E8"/>
    <w:rsid w:val="00BF5508"/>
    <w:rsid w:val="00C01508"/>
    <w:rsid w:val="00C11052"/>
    <w:rsid w:val="00C53954"/>
    <w:rsid w:val="00C54742"/>
    <w:rsid w:val="00C70F84"/>
    <w:rsid w:val="00C73113"/>
    <w:rsid w:val="00C73906"/>
    <w:rsid w:val="00C95F8F"/>
    <w:rsid w:val="00CC1E52"/>
    <w:rsid w:val="00CD684E"/>
    <w:rsid w:val="00CE362F"/>
    <w:rsid w:val="00CF00D9"/>
    <w:rsid w:val="00CF04B0"/>
    <w:rsid w:val="00CF21A3"/>
    <w:rsid w:val="00CF61ED"/>
    <w:rsid w:val="00CF6933"/>
    <w:rsid w:val="00D0611D"/>
    <w:rsid w:val="00D071A9"/>
    <w:rsid w:val="00D10CC1"/>
    <w:rsid w:val="00D53921"/>
    <w:rsid w:val="00D55B4D"/>
    <w:rsid w:val="00D6579E"/>
    <w:rsid w:val="00D729B0"/>
    <w:rsid w:val="00D73020"/>
    <w:rsid w:val="00D7539B"/>
    <w:rsid w:val="00D8189F"/>
    <w:rsid w:val="00D955FE"/>
    <w:rsid w:val="00DA0E9C"/>
    <w:rsid w:val="00DA6A45"/>
    <w:rsid w:val="00DB2D47"/>
    <w:rsid w:val="00DD0C9C"/>
    <w:rsid w:val="00DD6AE4"/>
    <w:rsid w:val="00DE12F3"/>
    <w:rsid w:val="00DF39B1"/>
    <w:rsid w:val="00E23358"/>
    <w:rsid w:val="00E36D1A"/>
    <w:rsid w:val="00E51FA5"/>
    <w:rsid w:val="00E6300A"/>
    <w:rsid w:val="00E7579E"/>
    <w:rsid w:val="00E84B69"/>
    <w:rsid w:val="00E86451"/>
    <w:rsid w:val="00E94C1D"/>
    <w:rsid w:val="00E96E4F"/>
    <w:rsid w:val="00EB3B6C"/>
    <w:rsid w:val="00EB46DA"/>
    <w:rsid w:val="00EB4A49"/>
    <w:rsid w:val="00EE1633"/>
    <w:rsid w:val="00EF5803"/>
    <w:rsid w:val="00EF6ACA"/>
    <w:rsid w:val="00F04B61"/>
    <w:rsid w:val="00F41FE8"/>
    <w:rsid w:val="00F45294"/>
    <w:rsid w:val="00F47569"/>
    <w:rsid w:val="00F615D5"/>
    <w:rsid w:val="00F826FD"/>
    <w:rsid w:val="00F960CC"/>
    <w:rsid w:val="00FA1300"/>
    <w:rsid w:val="00FA622C"/>
    <w:rsid w:val="00FE5445"/>
    <w:rsid w:val="00FF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49A1F88-221E-47FC-8F50-775F2AA2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F48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F465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4765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765A0"/>
  </w:style>
  <w:style w:type="paragraph" w:styleId="Footer">
    <w:name w:val="footer"/>
    <w:basedOn w:val="Normal"/>
    <w:link w:val="FooterChar"/>
    <w:uiPriority w:val="99"/>
    <w:semiHidden/>
    <w:rsid w:val="004765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765A0"/>
  </w:style>
  <w:style w:type="paragraph" w:styleId="ListParagraph">
    <w:name w:val="List Paragraph"/>
    <w:basedOn w:val="Normal"/>
    <w:uiPriority w:val="99"/>
    <w:qFormat/>
    <w:rsid w:val="00B1160D"/>
    <w:pPr>
      <w:ind w:left="720"/>
    </w:pPr>
  </w:style>
  <w:style w:type="paragraph" w:styleId="NoSpacing">
    <w:name w:val="No Spacing"/>
    <w:link w:val="NoSpacingChar"/>
    <w:uiPriority w:val="99"/>
    <w:qFormat/>
    <w:rsid w:val="00DE12F3"/>
    <w:pPr>
      <w:jc w:val="both"/>
    </w:pPr>
    <w:rPr>
      <w:sz w:val="24"/>
      <w:szCs w:val="24"/>
      <w:lang w:val="sr-Latn-CS"/>
    </w:rPr>
  </w:style>
  <w:style w:type="character" w:customStyle="1" w:styleId="NoSpacingChar">
    <w:name w:val="No Spacing Char"/>
    <w:link w:val="NoSpacing"/>
    <w:uiPriority w:val="99"/>
    <w:locked/>
    <w:rsid w:val="00DE12F3"/>
    <w:rPr>
      <w:rFonts w:ascii="Times New Roman" w:hAnsi="Times New Roman" w:cs="Times New Roman"/>
      <w:sz w:val="24"/>
      <w:szCs w:val="24"/>
      <w:lang w:val="sr-Latn-C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54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5474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50B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DAD40-2084-47AE-B0AA-818745637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PROCEDURA IZVOĐENJA NATIVNE RADIOGRAFIJE ABDOMENA</vt:lpstr>
    </vt:vector>
  </TitlesOfParts>
  <Company>Toshiba</Company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IZVOĐENJA NATIVNE RADIOGRAFIJE ABDOMENA</dc:title>
  <dc:creator>pc</dc:creator>
  <cp:lastModifiedBy>jelena</cp:lastModifiedBy>
  <cp:revision>5</cp:revision>
  <cp:lastPrinted>2019-02-24T08:27:00Z</cp:lastPrinted>
  <dcterms:created xsi:type="dcterms:W3CDTF">2019-02-20T15:52:00Z</dcterms:created>
  <dcterms:modified xsi:type="dcterms:W3CDTF">2021-12-06T13:27:00Z</dcterms:modified>
</cp:coreProperties>
</file>