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EF" w:rsidRDefault="004E5FEF" w:rsidP="003F4651">
      <w:pPr>
        <w:spacing w:line="360" w:lineRule="auto"/>
        <w:jc w:val="both"/>
        <w:rPr>
          <w:sz w:val="24"/>
          <w:szCs w:val="24"/>
        </w:rPr>
      </w:pPr>
    </w:p>
    <w:p w:rsidR="004E5FEF" w:rsidRDefault="004E5FEF" w:rsidP="003F4651">
      <w:pPr>
        <w:spacing w:line="360" w:lineRule="auto"/>
        <w:jc w:val="both"/>
        <w:rPr>
          <w:sz w:val="24"/>
          <w:szCs w:val="24"/>
        </w:rPr>
      </w:pP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5"/>
      </w:tblGrid>
      <w:tr w:rsidR="004E5FEF" w:rsidRPr="00BE0481">
        <w:trPr>
          <w:trHeight w:val="1405"/>
          <w:jc w:val="center"/>
        </w:trPr>
        <w:tc>
          <w:tcPr>
            <w:tcW w:w="952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4E5FEF" w:rsidRPr="00D6579E" w:rsidRDefault="004E5FEF" w:rsidP="00D6579E">
            <w:pPr>
              <w:spacing w:after="0" w:line="360" w:lineRule="auto"/>
              <w:jc w:val="center"/>
              <w:rPr>
                <w:sz w:val="24"/>
                <w:szCs w:val="24"/>
              </w:rPr>
            </w:pPr>
          </w:p>
          <w:p w:rsidR="004E5FEF" w:rsidRDefault="004E5FEF" w:rsidP="00BE0481">
            <w:pPr>
              <w:spacing w:after="0" w:line="360" w:lineRule="auto"/>
              <w:jc w:val="center"/>
              <w:rPr>
                <w:sz w:val="40"/>
                <w:szCs w:val="40"/>
                <w:lang w:val="it-IT"/>
              </w:rPr>
            </w:pPr>
            <w:r w:rsidRPr="00D6579E">
              <w:rPr>
                <w:sz w:val="40"/>
                <w:szCs w:val="40"/>
                <w:lang w:val="it-IT"/>
              </w:rPr>
              <w:t xml:space="preserve">PROCEDURA </w:t>
            </w:r>
            <w:r w:rsidR="006841CC">
              <w:rPr>
                <w:sz w:val="40"/>
                <w:szCs w:val="40"/>
                <w:lang w:val="it-IT"/>
              </w:rPr>
              <w:t>O POSTUPANJU U SLUČAJU NEŽ</w:t>
            </w:r>
            <w:r w:rsidR="00526D36">
              <w:rPr>
                <w:sz w:val="40"/>
                <w:szCs w:val="40"/>
                <w:lang w:val="it-IT"/>
              </w:rPr>
              <w:t>ELJENOG DOGAĐAJA I NEŽELJENIH REAKCIJA NA LEK I MEDICINSKO SREDSTVO</w:t>
            </w:r>
          </w:p>
          <w:p w:rsidR="00BE0481" w:rsidRPr="00D6579E" w:rsidRDefault="00BE0481" w:rsidP="00BE0481">
            <w:pPr>
              <w:spacing w:after="0" w:line="360" w:lineRule="auto"/>
              <w:jc w:val="center"/>
              <w:rPr>
                <w:sz w:val="40"/>
                <w:szCs w:val="40"/>
                <w:lang w:val="it-IT"/>
              </w:rPr>
            </w:pPr>
          </w:p>
        </w:tc>
      </w:tr>
    </w:tbl>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tbl>
      <w:tblPr>
        <w:tblW w:w="9701" w:type="dxa"/>
        <w:jc w:val="center"/>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101"/>
        <w:gridCol w:w="1559"/>
        <w:gridCol w:w="2268"/>
        <w:gridCol w:w="2363"/>
        <w:gridCol w:w="2410"/>
      </w:tblGrid>
      <w:tr w:rsidR="004E5FEF" w:rsidRPr="00D6579E">
        <w:trPr>
          <w:jc w:val="center"/>
        </w:trPr>
        <w:tc>
          <w:tcPr>
            <w:tcW w:w="1101" w:type="dxa"/>
            <w:tcBorders>
              <w:top w:val="single" w:sz="1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Verzija:</w:t>
            </w:r>
          </w:p>
        </w:tc>
        <w:tc>
          <w:tcPr>
            <w:tcW w:w="1559"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Datum:</w:t>
            </w:r>
          </w:p>
        </w:tc>
        <w:tc>
          <w:tcPr>
            <w:tcW w:w="2268"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Delovodni broj:</w:t>
            </w:r>
          </w:p>
        </w:tc>
        <w:tc>
          <w:tcPr>
            <w:tcW w:w="2363"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Izradio:</w:t>
            </w:r>
          </w:p>
        </w:tc>
        <w:tc>
          <w:tcPr>
            <w:tcW w:w="2410" w:type="dxa"/>
            <w:tcBorders>
              <w:top w:val="single" w:sz="12" w:space="0" w:color="000000"/>
              <w:left w:val="single" w:sz="2" w:space="0" w:color="000000"/>
              <w:bottom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Odobrio:</w:t>
            </w:r>
          </w:p>
        </w:tc>
      </w:tr>
      <w:tr w:rsidR="004E5FEF" w:rsidRPr="00D6579E">
        <w:trPr>
          <w:jc w:val="center"/>
        </w:trPr>
        <w:tc>
          <w:tcPr>
            <w:tcW w:w="1101" w:type="dxa"/>
            <w:tcBorders>
              <w:top w:val="single" w:sz="2" w:space="0" w:color="000000"/>
              <w:bottom w:val="single" w:sz="12" w:space="0" w:color="000000"/>
              <w:right w:val="single" w:sz="2" w:space="0" w:color="000000"/>
            </w:tcBorders>
          </w:tcPr>
          <w:p w:rsidR="004E5FEF" w:rsidRPr="00D6579E" w:rsidRDefault="004E5FEF" w:rsidP="00D6579E">
            <w:pPr>
              <w:spacing w:after="0" w:line="360" w:lineRule="auto"/>
              <w:jc w:val="center"/>
              <w:rPr>
                <w:sz w:val="24"/>
                <w:szCs w:val="24"/>
              </w:rPr>
            </w:pPr>
            <w:r w:rsidRPr="00D6579E">
              <w:rPr>
                <w:sz w:val="24"/>
                <w:szCs w:val="24"/>
              </w:rPr>
              <w:t>1</w:t>
            </w:r>
          </w:p>
        </w:tc>
        <w:tc>
          <w:tcPr>
            <w:tcW w:w="1559" w:type="dxa"/>
            <w:tcBorders>
              <w:top w:val="single" w:sz="2" w:space="0" w:color="000000"/>
              <w:left w:val="single" w:sz="2" w:space="0" w:color="000000"/>
              <w:bottom w:val="single" w:sz="12" w:space="0" w:color="000000"/>
              <w:right w:val="single" w:sz="2" w:space="0" w:color="000000"/>
            </w:tcBorders>
          </w:tcPr>
          <w:p w:rsidR="004E5FEF" w:rsidRPr="00D6579E" w:rsidRDefault="004E5FEF" w:rsidP="00D6579E">
            <w:pPr>
              <w:spacing w:after="0" w:line="360" w:lineRule="auto"/>
              <w:jc w:val="both"/>
              <w:rPr>
                <w:sz w:val="24"/>
                <w:szCs w:val="24"/>
              </w:rPr>
            </w:pPr>
            <w:bookmarkStart w:id="0" w:name="_GoBack"/>
            <w:bookmarkEnd w:id="0"/>
          </w:p>
        </w:tc>
        <w:tc>
          <w:tcPr>
            <w:tcW w:w="2268" w:type="dxa"/>
            <w:tcBorders>
              <w:top w:val="single" w:sz="2" w:space="0" w:color="000000"/>
              <w:left w:val="single" w:sz="2" w:space="0" w:color="000000"/>
              <w:bottom w:val="single" w:sz="12" w:space="0" w:color="000000"/>
              <w:right w:val="single" w:sz="2" w:space="0" w:color="000000"/>
            </w:tcBorders>
          </w:tcPr>
          <w:p w:rsidR="004E5FEF" w:rsidRPr="00D6579E" w:rsidRDefault="008260F3" w:rsidP="00D6579E">
            <w:pPr>
              <w:spacing w:after="0" w:line="360" w:lineRule="auto"/>
              <w:jc w:val="both"/>
              <w:rPr>
                <w:sz w:val="24"/>
                <w:szCs w:val="24"/>
              </w:rPr>
            </w:pPr>
            <w:r>
              <w:rPr>
                <w:sz w:val="24"/>
                <w:szCs w:val="24"/>
              </w:rPr>
              <w:t>1</w:t>
            </w:r>
          </w:p>
        </w:tc>
        <w:tc>
          <w:tcPr>
            <w:tcW w:w="2363" w:type="dxa"/>
            <w:tcBorders>
              <w:top w:val="single" w:sz="2" w:space="0" w:color="000000"/>
              <w:left w:val="single" w:sz="2" w:space="0" w:color="000000"/>
              <w:bottom w:val="single" w:sz="12" w:space="0" w:color="000000"/>
              <w:right w:val="single" w:sz="2" w:space="0" w:color="000000"/>
            </w:tcBorders>
          </w:tcPr>
          <w:p w:rsidR="004E5FEF" w:rsidRPr="00D6579E" w:rsidRDefault="004E5FEF" w:rsidP="00526D36">
            <w:pPr>
              <w:spacing w:after="0" w:line="360" w:lineRule="auto"/>
              <w:jc w:val="center"/>
              <w:rPr>
                <w:sz w:val="24"/>
                <w:szCs w:val="24"/>
              </w:rPr>
            </w:pPr>
          </w:p>
        </w:tc>
        <w:tc>
          <w:tcPr>
            <w:tcW w:w="2410" w:type="dxa"/>
            <w:tcBorders>
              <w:top w:val="single" w:sz="2" w:space="0" w:color="000000"/>
              <w:left w:val="single" w:sz="2" w:space="0" w:color="000000"/>
              <w:bottom w:val="single" w:sz="12" w:space="0" w:color="000000"/>
            </w:tcBorders>
          </w:tcPr>
          <w:p w:rsidR="004E5FEF" w:rsidRPr="00D6579E" w:rsidRDefault="0025649A" w:rsidP="00D6579E">
            <w:pPr>
              <w:spacing w:after="0" w:line="360" w:lineRule="auto"/>
              <w:jc w:val="center"/>
              <w:rPr>
                <w:sz w:val="24"/>
                <w:szCs w:val="24"/>
              </w:rPr>
            </w:pPr>
            <w:r>
              <w:rPr>
                <w:sz w:val="24"/>
                <w:szCs w:val="24"/>
              </w:rPr>
              <w:t>Komisija za odobravanje procedura</w:t>
            </w:r>
          </w:p>
        </w:tc>
      </w:tr>
    </w:tbl>
    <w:p w:rsidR="004E5FEF" w:rsidRDefault="004E5FEF" w:rsidP="003F4651">
      <w:pPr>
        <w:spacing w:line="360" w:lineRule="auto"/>
        <w:jc w:val="both"/>
        <w:rPr>
          <w:sz w:val="24"/>
          <w:szCs w:val="24"/>
        </w:rPr>
      </w:pPr>
    </w:p>
    <w:p w:rsidR="004E5FEF" w:rsidRPr="002B1070" w:rsidRDefault="004E5FEF" w:rsidP="002B1070">
      <w:pPr>
        <w:spacing w:line="360" w:lineRule="auto"/>
        <w:jc w:val="center"/>
        <w:rPr>
          <w:sz w:val="28"/>
          <w:szCs w:val="28"/>
        </w:rPr>
      </w:pPr>
      <w:r w:rsidRPr="002B1070">
        <w:rPr>
          <w:sz w:val="28"/>
          <w:szCs w:val="28"/>
        </w:rPr>
        <w:t>LISTA IZMENA I DOPUNA</w:t>
      </w:r>
    </w:p>
    <w:tbl>
      <w:tblPr>
        <w:tblW w:w="9630" w:type="dxa"/>
        <w:jc w:val="center"/>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100"/>
        <w:gridCol w:w="1559"/>
        <w:gridCol w:w="2268"/>
        <w:gridCol w:w="2321"/>
        <w:gridCol w:w="2382"/>
      </w:tblGrid>
      <w:tr w:rsidR="004E5FEF" w:rsidRPr="00D6579E">
        <w:trPr>
          <w:trHeight w:val="420"/>
          <w:jc w:val="center"/>
        </w:trPr>
        <w:tc>
          <w:tcPr>
            <w:tcW w:w="1100" w:type="dxa"/>
            <w:tcBorders>
              <w:top w:val="single" w:sz="1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Verzija:</w:t>
            </w:r>
          </w:p>
        </w:tc>
        <w:tc>
          <w:tcPr>
            <w:tcW w:w="1559"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Datum:</w:t>
            </w:r>
          </w:p>
        </w:tc>
        <w:tc>
          <w:tcPr>
            <w:tcW w:w="2268"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Razlog izmene:</w:t>
            </w:r>
          </w:p>
        </w:tc>
        <w:tc>
          <w:tcPr>
            <w:tcW w:w="2321"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Izradio:</w:t>
            </w:r>
          </w:p>
        </w:tc>
        <w:tc>
          <w:tcPr>
            <w:tcW w:w="2382" w:type="dxa"/>
            <w:tcBorders>
              <w:top w:val="single" w:sz="12" w:space="0" w:color="000000"/>
              <w:left w:val="single" w:sz="2" w:space="0" w:color="000000"/>
              <w:bottom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Odobrio:</w:t>
            </w:r>
          </w:p>
        </w:tc>
      </w:tr>
      <w:tr w:rsidR="004E5FEF" w:rsidRPr="00D6579E">
        <w:trPr>
          <w:trHeight w:val="30"/>
          <w:jc w:val="center"/>
        </w:trPr>
        <w:tc>
          <w:tcPr>
            <w:tcW w:w="1100" w:type="dxa"/>
            <w:tcBorders>
              <w:top w:val="single" w:sz="2" w:space="0" w:color="000000"/>
              <w:bottom w:val="single" w:sz="2" w:space="0" w:color="000000"/>
              <w:right w:val="single" w:sz="2" w:space="0" w:color="000000"/>
            </w:tcBorders>
          </w:tcPr>
          <w:p w:rsidR="004E5FEF" w:rsidRPr="00D6579E" w:rsidRDefault="004E5FEF" w:rsidP="00856767">
            <w:pPr>
              <w:spacing w:after="0" w:line="360" w:lineRule="auto"/>
              <w:jc w:val="center"/>
              <w:rPr>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4E5FEF" w:rsidRPr="00D6579E" w:rsidRDefault="004E5FEF" w:rsidP="00D6579E">
            <w:pPr>
              <w:spacing w:after="0" w:line="360" w:lineRule="auto"/>
              <w:jc w:val="both"/>
              <w:rPr>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4E5FEF" w:rsidRPr="00D6579E" w:rsidRDefault="004E5FEF" w:rsidP="00D6579E">
            <w:pPr>
              <w:spacing w:after="0" w:line="360" w:lineRule="auto"/>
              <w:jc w:val="both"/>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rsidR="004E5FEF" w:rsidRPr="00D6579E" w:rsidRDefault="004E5FEF" w:rsidP="00856767">
            <w:pPr>
              <w:spacing w:after="0" w:line="360" w:lineRule="auto"/>
              <w:jc w:val="center"/>
              <w:rPr>
                <w:sz w:val="24"/>
                <w:szCs w:val="24"/>
              </w:rPr>
            </w:pPr>
          </w:p>
        </w:tc>
        <w:tc>
          <w:tcPr>
            <w:tcW w:w="2382" w:type="dxa"/>
            <w:tcBorders>
              <w:top w:val="single" w:sz="2" w:space="0" w:color="000000"/>
              <w:left w:val="single" w:sz="2" w:space="0" w:color="000000"/>
              <w:bottom w:val="single" w:sz="2" w:space="0" w:color="000000"/>
            </w:tcBorders>
          </w:tcPr>
          <w:p w:rsidR="004E5FEF" w:rsidRPr="00D6579E" w:rsidRDefault="004E5FEF" w:rsidP="0025649A">
            <w:pPr>
              <w:spacing w:after="0" w:line="360" w:lineRule="auto"/>
              <w:jc w:val="center"/>
              <w:rPr>
                <w:sz w:val="24"/>
                <w:szCs w:val="24"/>
              </w:rPr>
            </w:pPr>
          </w:p>
        </w:tc>
      </w:tr>
      <w:tr w:rsidR="00856767" w:rsidRPr="00D6579E">
        <w:trPr>
          <w:trHeight w:val="435"/>
          <w:jc w:val="center"/>
        </w:trPr>
        <w:tc>
          <w:tcPr>
            <w:tcW w:w="1100" w:type="dxa"/>
            <w:tcBorders>
              <w:top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382" w:type="dxa"/>
            <w:tcBorders>
              <w:top w:val="single" w:sz="2" w:space="0" w:color="000000"/>
              <w:left w:val="single" w:sz="2" w:space="0" w:color="000000"/>
              <w:bottom w:val="single" w:sz="2" w:space="0" w:color="000000"/>
            </w:tcBorders>
          </w:tcPr>
          <w:p w:rsidR="00856767" w:rsidRPr="00086423" w:rsidRDefault="00856767" w:rsidP="00277FC9">
            <w:pPr>
              <w:spacing w:after="0" w:line="360" w:lineRule="auto"/>
              <w:jc w:val="both"/>
              <w:rPr>
                <w:sz w:val="24"/>
                <w:szCs w:val="24"/>
              </w:rPr>
            </w:pPr>
          </w:p>
        </w:tc>
      </w:tr>
      <w:tr w:rsidR="00856767" w:rsidRPr="00D6579E">
        <w:trPr>
          <w:jc w:val="center"/>
        </w:trPr>
        <w:tc>
          <w:tcPr>
            <w:tcW w:w="1100" w:type="dxa"/>
            <w:tcBorders>
              <w:top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1559"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268"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321"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382" w:type="dxa"/>
            <w:tcBorders>
              <w:top w:val="single" w:sz="2" w:space="0" w:color="000000"/>
              <w:left w:val="single" w:sz="2" w:space="0" w:color="000000"/>
              <w:bottom w:val="single" w:sz="12" w:space="0" w:color="000000"/>
            </w:tcBorders>
          </w:tcPr>
          <w:p w:rsidR="00856767" w:rsidRPr="00D6579E" w:rsidRDefault="00856767" w:rsidP="00D6579E">
            <w:pPr>
              <w:spacing w:after="0" w:line="360" w:lineRule="auto"/>
              <w:jc w:val="both"/>
              <w:rPr>
                <w:sz w:val="24"/>
                <w:szCs w:val="24"/>
              </w:rPr>
            </w:pPr>
          </w:p>
        </w:tc>
      </w:tr>
    </w:tbl>
    <w:p w:rsidR="004E5FEF" w:rsidRDefault="004E5FEF" w:rsidP="009A4F95">
      <w:pPr>
        <w:pStyle w:val="NoSpacing"/>
        <w:spacing w:after="120"/>
        <w:rPr>
          <w:rFonts w:cs="Calibri"/>
          <w:lang w:val="en-US"/>
        </w:rPr>
      </w:pPr>
    </w:p>
    <w:p w:rsidR="0025649A" w:rsidRDefault="0025649A" w:rsidP="009A4F95">
      <w:pPr>
        <w:pStyle w:val="NoSpacing"/>
        <w:spacing w:after="120"/>
        <w:rPr>
          <w:rFonts w:cs="Calibri"/>
          <w:b/>
          <w:bCs/>
          <w:color w:val="000000"/>
          <w:sz w:val="28"/>
          <w:szCs w:val="28"/>
          <w:u w:val="single"/>
        </w:rPr>
      </w:pPr>
    </w:p>
    <w:p w:rsidR="003062D0" w:rsidRDefault="003062D0" w:rsidP="009A4F95">
      <w:pPr>
        <w:pStyle w:val="NoSpacing"/>
        <w:spacing w:after="120"/>
        <w:rPr>
          <w:rFonts w:cs="Calibri"/>
          <w:b/>
          <w:bCs/>
          <w:color w:val="000000"/>
          <w:sz w:val="28"/>
          <w:szCs w:val="28"/>
          <w:u w:val="single"/>
        </w:rPr>
      </w:pPr>
    </w:p>
    <w:p w:rsidR="004E5FEF" w:rsidRDefault="004E5FEF" w:rsidP="009A4F95">
      <w:pPr>
        <w:pStyle w:val="NoSpacing"/>
        <w:spacing w:after="120"/>
        <w:rPr>
          <w:rFonts w:cs="Calibri"/>
          <w:b/>
          <w:bCs/>
          <w:color w:val="000000"/>
          <w:sz w:val="28"/>
          <w:szCs w:val="28"/>
          <w:u w:val="single"/>
        </w:rPr>
      </w:pPr>
      <w:r>
        <w:rPr>
          <w:rFonts w:cs="Calibri"/>
          <w:b/>
          <w:bCs/>
          <w:color w:val="000000"/>
          <w:sz w:val="28"/>
          <w:szCs w:val="28"/>
          <w:u w:val="single"/>
        </w:rPr>
        <w:t>PREDMET, CILJ I PODRUČJE PRIMENE</w:t>
      </w:r>
    </w:p>
    <w:p w:rsidR="004E5FEF" w:rsidRDefault="00653C4D" w:rsidP="002F0245">
      <w:pPr>
        <w:spacing w:after="120" w:line="240" w:lineRule="auto"/>
        <w:jc w:val="both"/>
        <w:rPr>
          <w:rFonts w:ascii="Times New Roman" w:hAnsi="Times New Roman" w:cs="Times New Roman"/>
          <w:sz w:val="24"/>
          <w:szCs w:val="24"/>
          <w:lang w:val="sr-Latn-CS"/>
        </w:rPr>
      </w:pPr>
      <w:r w:rsidRPr="00653C4D">
        <w:rPr>
          <w:rFonts w:ascii="Times New Roman" w:hAnsi="Times New Roman" w:cs="Times New Roman"/>
          <w:sz w:val="24"/>
          <w:szCs w:val="24"/>
          <w:lang w:val="sr-Latn-CS"/>
        </w:rPr>
        <w:t>Ova procedura ima cilj i namenu:</w:t>
      </w:r>
    </w:p>
    <w:p w:rsidR="00653C4D" w:rsidRDefault="00653C4D" w:rsidP="00653C4D">
      <w:pPr>
        <w:numPr>
          <w:ilvl w:val="0"/>
          <w:numId w:val="15"/>
        </w:numPr>
        <w:spacing w:after="12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 definiše </w:t>
      </w:r>
      <w:r w:rsidR="00526D36">
        <w:rPr>
          <w:rFonts w:ascii="Times New Roman" w:hAnsi="Times New Roman" w:cs="Times New Roman"/>
          <w:sz w:val="24"/>
          <w:szCs w:val="24"/>
          <w:lang w:val="sr-Latn-CS"/>
        </w:rPr>
        <w:t>neželjene događaje i postupak njihovog prijavljivanja</w:t>
      </w:r>
    </w:p>
    <w:p w:rsidR="00526D36" w:rsidRDefault="00526D36" w:rsidP="00653C4D">
      <w:pPr>
        <w:numPr>
          <w:ilvl w:val="0"/>
          <w:numId w:val="15"/>
        </w:numPr>
        <w:spacing w:after="12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da definiše sprovođenje farmakovigilance u cilju efikasne i bezbedne terapije</w:t>
      </w:r>
    </w:p>
    <w:p w:rsidR="00653C4D" w:rsidRPr="00653C4D" w:rsidRDefault="00653C4D" w:rsidP="00653C4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procedurom je obuhvaćen rad svih lekara i terapeuta koji leče ambulantne i stacionarne pacijente na odeljenjima klinika KCS</w:t>
      </w:r>
    </w:p>
    <w:p w:rsidR="00653C4D" w:rsidRPr="00F04B61" w:rsidRDefault="00653C4D" w:rsidP="002F0245">
      <w:pPr>
        <w:spacing w:after="120" w:line="240" w:lineRule="auto"/>
        <w:jc w:val="both"/>
        <w:rPr>
          <w:sz w:val="28"/>
          <w:szCs w:val="28"/>
          <w:lang w:val="sr-Latn-CS"/>
        </w:rPr>
      </w:pPr>
    </w:p>
    <w:p w:rsidR="004E5FEF" w:rsidRDefault="00653C4D" w:rsidP="009A4F95">
      <w:pPr>
        <w:pStyle w:val="NoSpacing"/>
        <w:spacing w:after="120"/>
        <w:rPr>
          <w:rFonts w:cs="Calibri"/>
          <w:b/>
          <w:bCs/>
          <w:sz w:val="28"/>
          <w:szCs w:val="28"/>
          <w:u w:val="single"/>
        </w:rPr>
      </w:pPr>
      <w:r>
        <w:rPr>
          <w:rFonts w:cs="Calibri"/>
          <w:b/>
          <w:bCs/>
          <w:sz w:val="28"/>
          <w:szCs w:val="28"/>
          <w:u w:val="single"/>
        </w:rPr>
        <w:t>VEZA SA DRUGIM DOKUMENTIMA</w:t>
      </w:r>
      <w:r w:rsidR="004E5FEF" w:rsidRPr="00DE12F3">
        <w:rPr>
          <w:rFonts w:cs="Calibri"/>
          <w:b/>
          <w:bCs/>
          <w:sz w:val="28"/>
          <w:szCs w:val="28"/>
          <w:u w:val="single"/>
        </w:rPr>
        <w:t xml:space="preserve"> </w:t>
      </w:r>
    </w:p>
    <w:p w:rsidR="00EB4A49" w:rsidRDefault="00EB4A49" w:rsidP="00526D36">
      <w:pPr>
        <w:pStyle w:val="NoSpacing"/>
        <w:spacing w:after="120"/>
        <w:rPr>
          <w:rFonts w:cs="Calibri"/>
          <w:b/>
          <w:bCs/>
          <w:color w:val="000000"/>
          <w:sz w:val="28"/>
          <w:szCs w:val="28"/>
        </w:rPr>
      </w:pPr>
    </w:p>
    <w:p w:rsidR="00526D36" w:rsidRDefault="00526D36" w:rsidP="00526D36">
      <w:pPr>
        <w:pStyle w:val="NoSpacing"/>
        <w:spacing w:after="120"/>
        <w:rPr>
          <w:rFonts w:cs="Calibri"/>
          <w:bCs/>
          <w:color w:val="000000"/>
          <w:sz w:val="28"/>
          <w:szCs w:val="28"/>
        </w:rPr>
      </w:pPr>
      <w:r>
        <w:rPr>
          <w:rFonts w:cs="Calibri"/>
          <w:b/>
          <w:bCs/>
          <w:color w:val="000000"/>
          <w:sz w:val="28"/>
          <w:szCs w:val="28"/>
          <w:u w:val="single"/>
        </w:rPr>
        <w:t>DEFINICIJE</w:t>
      </w:r>
    </w:p>
    <w:p w:rsidR="00526D36" w:rsidRDefault="00526D36" w:rsidP="00526D36">
      <w:pPr>
        <w:pStyle w:val="NoSpacing"/>
        <w:spacing w:after="120"/>
        <w:rPr>
          <w:bCs/>
          <w:color w:val="000000"/>
          <w:szCs w:val="28"/>
        </w:rPr>
      </w:pPr>
      <w:r w:rsidRPr="00FB3D19">
        <w:rPr>
          <w:b/>
          <w:bCs/>
          <w:color w:val="000000"/>
          <w:szCs w:val="28"/>
        </w:rPr>
        <w:t>Neželjeni događaj</w:t>
      </w:r>
      <w:r w:rsidRPr="00FB3D19">
        <w:rPr>
          <w:bCs/>
          <w:color w:val="000000"/>
          <w:szCs w:val="28"/>
        </w:rPr>
        <w:t xml:space="preserve"> je neočekivan i negativan incident nastao tokom pruđanja zdravstvene usluge i u vezi sa njom i koji je prouzrokovao ili je mogao prouzrokovati nenamernu i neočekivanu povredu, gubitak ili štetu, koja je u direktnoj vezi sa lečenjem ili uslugama koje su pružene pacijentu. Incident koji se desio tokom procesa pružanja zdravstvene zaštitet i koji je rezultirao povredom pacijenta, pogor</w:t>
      </w:r>
      <w:r w:rsidR="00FB3D19" w:rsidRPr="00FB3D19">
        <w:rPr>
          <w:bCs/>
          <w:color w:val="000000"/>
          <w:szCs w:val="28"/>
        </w:rPr>
        <w:t>šanjem stanja ili smrtnim ishodom.</w:t>
      </w:r>
    </w:p>
    <w:p w:rsidR="00FB3D19" w:rsidRDefault="00FB3D19" w:rsidP="00526D36">
      <w:pPr>
        <w:pStyle w:val="NoSpacing"/>
        <w:spacing w:after="120"/>
        <w:rPr>
          <w:bCs/>
          <w:color w:val="000000"/>
          <w:szCs w:val="28"/>
        </w:rPr>
      </w:pPr>
    </w:p>
    <w:p w:rsidR="00FB3D19" w:rsidRDefault="00FB3D19" w:rsidP="00526D36">
      <w:pPr>
        <w:pStyle w:val="NoSpacing"/>
        <w:spacing w:after="120"/>
        <w:rPr>
          <w:bCs/>
          <w:color w:val="000000"/>
          <w:szCs w:val="28"/>
        </w:rPr>
      </w:pPr>
      <w:r w:rsidRPr="00FB3D19">
        <w:rPr>
          <w:b/>
          <w:bCs/>
          <w:color w:val="000000"/>
          <w:szCs w:val="28"/>
        </w:rPr>
        <w:t>Farmakovigilanca</w:t>
      </w:r>
      <w:r>
        <w:rPr>
          <w:bCs/>
          <w:color w:val="000000"/>
          <w:szCs w:val="28"/>
        </w:rPr>
        <w:t xml:space="preserve"> je skup aktivnosti koje se odnose na prikupljanje, otkrivanje, procenu, razumevanje i prevenciju neželjenih reakcija na lek.</w:t>
      </w:r>
    </w:p>
    <w:p w:rsidR="00FB3D19" w:rsidRDefault="00FB3D19" w:rsidP="00526D36">
      <w:pPr>
        <w:pStyle w:val="NoSpacing"/>
        <w:spacing w:after="120"/>
        <w:rPr>
          <w:bCs/>
          <w:color w:val="000000"/>
          <w:szCs w:val="28"/>
        </w:rPr>
      </w:pPr>
    </w:p>
    <w:p w:rsidR="00FB3D19" w:rsidRPr="00FB3D19" w:rsidRDefault="00FB3D19" w:rsidP="00526D36">
      <w:pPr>
        <w:pStyle w:val="NoSpacing"/>
        <w:spacing w:after="120"/>
        <w:rPr>
          <w:bCs/>
          <w:color w:val="000000"/>
          <w:szCs w:val="28"/>
        </w:rPr>
      </w:pPr>
      <w:r w:rsidRPr="00FB3D19">
        <w:rPr>
          <w:b/>
          <w:bCs/>
          <w:color w:val="000000"/>
          <w:szCs w:val="28"/>
        </w:rPr>
        <w:t>Neželjena reakcija na lek</w:t>
      </w:r>
      <w:r>
        <w:rPr>
          <w:bCs/>
          <w:color w:val="000000"/>
          <w:szCs w:val="28"/>
        </w:rPr>
        <w:t xml:space="preserve"> je svaka štetna i nenamerno izazvana reakcija na lek ili medicinsko sredstvo koja se pojavila pri primeni uobičajene doze leka kod ljudi (u svrhu lečenja, sprečavanja bolesti, postavljanja dijagnoze, obnove, poboljšanja ili promene fiziološke funkcije) ili pri primeni bilo koje doze leka u toku kliničkog ispitivanja.</w:t>
      </w:r>
    </w:p>
    <w:p w:rsidR="00FB3D19" w:rsidRDefault="00FB3D19" w:rsidP="009A4F95">
      <w:pPr>
        <w:pStyle w:val="NoSpacing"/>
        <w:spacing w:after="120"/>
        <w:rPr>
          <w:rFonts w:cs="Calibri"/>
          <w:b/>
          <w:bCs/>
          <w:color w:val="000000"/>
          <w:sz w:val="28"/>
          <w:szCs w:val="28"/>
          <w:u w:val="single"/>
        </w:rPr>
      </w:pPr>
    </w:p>
    <w:p w:rsidR="004E5FEF" w:rsidRDefault="0013425B" w:rsidP="009A4F95">
      <w:pPr>
        <w:pStyle w:val="NoSpacing"/>
        <w:spacing w:after="120"/>
        <w:rPr>
          <w:rFonts w:cs="Calibri"/>
          <w:sz w:val="28"/>
          <w:szCs w:val="28"/>
        </w:rPr>
      </w:pPr>
      <w:r>
        <w:rPr>
          <w:rFonts w:cs="Calibri"/>
          <w:b/>
          <w:bCs/>
          <w:color w:val="000000"/>
          <w:sz w:val="28"/>
          <w:szCs w:val="28"/>
          <w:u w:val="single"/>
        </w:rPr>
        <w:t>OPIS PROCESA RADA</w:t>
      </w:r>
      <w:r w:rsidR="004E5FEF" w:rsidRPr="00DE12F3">
        <w:rPr>
          <w:rFonts w:cs="Calibri"/>
          <w:sz w:val="28"/>
          <w:szCs w:val="28"/>
        </w:rPr>
        <w:t xml:space="preserve"> </w:t>
      </w:r>
    </w:p>
    <w:p w:rsidR="002D740B" w:rsidRDefault="00FB3D19" w:rsidP="00CC1E52">
      <w:pPr>
        <w:spacing w:after="0" w:line="240" w:lineRule="auto"/>
        <w:rPr>
          <w:rFonts w:ascii="Times New Roman" w:hAnsi="Times New Roman" w:cs="Times New Roman"/>
          <w:sz w:val="24"/>
          <w:szCs w:val="24"/>
          <w:lang w:val="sr-Latn-CS"/>
        </w:rPr>
      </w:pPr>
      <w:r w:rsidRPr="00FB3D19">
        <w:rPr>
          <w:rFonts w:ascii="Times New Roman" w:hAnsi="Times New Roman" w:cs="Times New Roman"/>
          <w:sz w:val="24"/>
          <w:szCs w:val="24"/>
          <w:lang w:val="sr-Latn-CS"/>
        </w:rPr>
        <w:t>Ako dođe</w:t>
      </w:r>
      <w:r>
        <w:rPr>
          <w:rFonts w:ascii="Times New Roman" w:hAnsi="Times New Roman" w:cs="Times New Roman"/>
          <w:sz w:val="24"/>
          <w:szCs w:val="24"/>
          <w:lang w:val="sr-Latn-CS"/>
        </w:rPr>
        <w:t xml:space="preserve"> do neželjenog događaja sa liste neželjenih događaja, pacijentu se mora odmah pružiti adekvatna medicinska ili druga potrebna pomoć (1), a zatim se događaj prijavljuje neposrednim rukovodiocima</w:t>
      </w:r>
      <w:r w:rsidR="002D740B">
        <w:rPr>
          <w:rFonts w:ascii="Times New Roman" w:hAnsi="Times New Roman" w:cs="Times New Roman"/>
          <w:sz w:val="24"/>
          <w:szCs w:val="24"/>
          <w:lang w:val="sr-Latn-CS"/>
        </w:rPr>
        <w:t xml:space="preserve"> (glavni tehničar i načelnik odeljenja) (2). Načelnik odljenja predlaže, ako je neophodno, dalje medicinske mere (3).</w:t>
      </w:r>
    </w:p>
    <w:p w:rsidR="002D740B" w:rsidRDefault="002D740B" w:rsidP="00CC1E52">
      <w:pPr>
        <w:spacing w:after="0" w:line="240" w:lineRule="auto"/>
        <w:rPr>
          <w:rFonts w:ascii="Times New Roman" w:hAnsi="Times New Roman" w:cs="Times New Roman"/>
          <w:sz w:val="24"/>
          <w:szCs w:val="24"/>
          <w:lang w:val="sr-Latn-CS"/>
        </w:rPr>
      </w:pPr>
    </w:p>
    <w:p w:rsidR="002D740B" w:rsidRDefault="002D740B"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Neželjeni događaj se beleži na obrascu za prijavljivanje ND od strane zaposlenog koji je bio u kontaktu sa pacijentom kada se desio ND (IZVESTILAC), a drugi dei obrasca popunjava neposredni rukovodilac (načelnik odeljenja) (4).</w:t>
      </w:r>
    </w:p>
    <w:p w:rsidR="002D740B" w:rsidRDefault="002D740B" w:rsidP="00CC1E52">
      <w:pPr>
        <w:spacing w:after="0" w:line="240" w:lineRule="auto"/>
        <w:rPr>
          <w:rFonts w:ascii="Times New Roman" w:hAnsi="Times New Roman" w:cs="Times New Roman"/>
          <w:sz w:val="24"/>
          <w:szCs w:val="24"/>
          <w:lang w:val="sr-Latn-CS"/>
        </w:rPr>
      </w:pPr>
    </w:p>
    <w:p w:rsidR="004B6662" w:rsidRDefault="00FB3D19"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2D740B">
        <w:rPr>
          <w:rFonts w:ascii="Times New Roman" w:hAnsi="Times New Roman" w:cs="Times New Roman"/>
          <w:sz w:val="24"/>
          <w:szCs w:val="24"/>
          <w:lang w:val="sr-Latn-CS"/>
        </w:rPr>
        <w:t xml:space="preserve">Neposredni rukovodilac (načelnik odeljenja) je dužan da izvrši analizu ND, kao i preduzete mere. Ukoliko posledice ND utiču na odvijanje radnih procesa ili štete ugledu KCS, neposredni rukovodilac obaveštava Direktora Centra, a ovaj Komisiju za unapređenje </w:t>
      </w:r>
      <w:r w:rsidR="002D740B">
        <w:rPr>
          <w:rFonts w:ascii="Times New Roman" w:hAnsi="Times New Roman" w:cs="Times New Roman"/>
          <w:sz w:val="24"/>
          <w:szCs w:val="24"/>
          <w:lang w:val="sr-Latn-CS"/>
        </w:rPr>
        <w:lastRenderedPageBreak/>
        <w:t>kvaliteta rada u najkraćem vremenskom roku. Komisija odlučuje o daljim postupcima vezanim za konkretni događaj.</w:t>
      </w:r>
    </w:p>
    <w:p w:rsidR="002D740B" w:rsidRDefault="002D740B" w:rsidP="00CC1E52">
      <w:pPr>
        <w:spacing w:after="0" w:line="240" w:lineRule="auto"/>
        <w:rPr>
          <w:rFonts w:ascii="Times New Roman" w:hAnsi="Times New Roman" w:cs="Times New Roman"/>
          <w:sz w:val="24"/>
          <w:szCs w:val="24"/>
          <w:lang w:val="sr-Latn-CS"/>
        </w:rPr>
      </w:pPr>
    </w:p>
    <w:p w:rsidR="002D740B" w:rsidRDefault="002D740B"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Obrazac za prijavljivanje ND sadrži sledeće podatke: </w:t>
      </w:r>
      <w:r w:rsidR="00B6461E">
        <w:rPr>
          <w:rFonts w:ascii="Times New Roman" w:hAnsi="Times New Roman" w:cs="Times New Roman"/>
          <w:sz w:val="24"/>
          <w:szCs w:val="24"/>
          <w:lang w:val="sr-Latn-CS"/>
        </w:rPr>
        <w:t xml:space="preserve"> </w:t>
      </w:r>
      <w:r w:rsidR="00C1679A">
        <w:rPr>
          <w:rFonts w:ascii="Times New Roman" w:hAnsi="Times New Roman" w:cs="Times New Roman"/>
          <w:sz w:val="24"/>
          <w:szCs w:val="24"/>
          <w:lang w:val="sr-Latn-CS"/>
        </w:rPr>
        <w:t xml:space="preserve">prezime i ime i matični broj povređenog, odeljenje, datum, tačno vreme i mesto događaja, opis događaja, uzrok </w:t>
      </w:r>
      <w:r w:rsidR="00D65712">
        <w:rPr>
          <w:rFonts w:ascii="Times New Roman" w:hAnsi="Times New Roman" w:cs="Times New Roman"/>
          <w:sz w:val="24"/>
          <w:szCs w:val="24"/>
          <w:lang w:val="sr-Latn-CS"/>
        </w:rPr>
        <w:t xml:space="preserve">događaja, izveštaj izvestioca, izveštaj druge osobe (svedoka), preduzete mere, ordiniranu terapiju, napomenu, potpis izveštača, načelnika </w:t>
      </w:r>
      <w:r w:rsidR="00C66348">
        <w:rPr>
          <w:rFonts w:ascii="Times New Roman" w:hAnsi="Times New Roman" w:cs="Times New Roman"/>
          <w:sz w:val="24"/>
          <w:szCs w:val="24"/>
          <w:lang w:val="sr-Latn-CS"/>
        </w:rPr>
        <w:t xml:space="preserve">organizacione jedinice </w:t>
      </w:r>
      <w:r w:rsidR="00D65712">
        <w:rPr>
          <w:rFonts w:ascii="Times New Roman" w:hAnsi="Times New Roman" w:cs="Times New Roman"/>
          <w:sz w:val="24"/>
          <w:szCs w:val="24"/>
          <w:lang w:val="sr-Latn-CS"/>
        </w:rPr>
        <w:t>i potpis glavnog tehničara/sestre. Opis događaja mora biti jasan, vremenski idređen, sa jasnim navođenjem učesnika i okolnosti. Moraju se označiti neposredno preduzete mere od strane onoga ko izveštava.</w:t>
      </w:r>
    </w:p>
    <w:p w:rsidR="00D65712" w:rsidRDefault="00D65712" w:rsidP="00CC1E52">
      <w:pPr>
        <w:spacing w:after="0" w:line="240" w:lineRule="auto"/>
        <w:rPr>
          <w:rFonts w:ascii="Times New Roman" w:hAnsi="Times New Roman" w:cs="Times New Roman"/>
          <w:sz w:val="24"/>
          <w:szCs w:val="24"/>
          <w:lang w:val="sr-Latn-CS"/>
        </w:rPr>
      </w:pPr>
    </w:p>
    <w:p w:rsidR="00D65712" w:rsidRDefault="00D65712"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Obrazac ND potpisan od strane izvestioca i neposrednih rukovodilaca (glavnog tehničara/sestre i načelnika) dostavlja se glavnom tehničaru/sestri Centra za nuklearnu medicinu, koji je dužđan da o tome obavesti direktora Centra. Direktor razmatra preduzete mere, predlaže dodatne mere</w:t>
      </w:r>
      <w:r w:rsidR="00C425DA">
        <w:rPr>
          <w:rFonts w:ascii="Times New Roman" w:hAnsi="Times New Roman" w:cs="Times New Roman"/>
          <w:sz w:val="24"/>
          <w:szCs w:val="24"/>
          <w:lang w:val="sr-Latn-CS"/>
        </w:rPr>
        <w:t xml:space="preserve"> i po potrebi određuje vanredni unutrašnji stručni nadzor u vezi sa ND, i na osnovu dobijenog mišljenja razmatra potrebu za eventualnim spoljašnjim stručnim nadzorom. Direktor KCS se o svim neželjenim događajima obaveštava preiodično kroz izveštaj Komisije za unapređenje kvaliteta rada.</w:t>
      </w:r>
    </w:p>
    <w:p w:rsidR="00C425DA" w:rsidRDefault="00C425DA" w:rsidP="00CC1E52">
      <w:pPr>
        <w:spacing w:after="0" w:line="240" w:lineRule="auto"/>
        <w:rPr>
          <w:rFonts w:ascii="Times New Roman" w:hAnsi="Times New Roman" w:cs="Times New Roman"/>
          <w:sz w:val="24"/>
          <w:szCs w:val="24"/>
          <w:lang w:val="sr-Latn-CS"/>
        </w:rPr>
      </w:pPr>
    </w:p>
    <w:p w:rsidR="00C425DA" w:rsidRDefault="00C425DA"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Popunjeni izveštaj o ND odlaže se u Registar za prijavu ND radi arhiviranja.</w:t>
      </w:r>
    </w:p>
    <w:p w:rsidR="00C425DA" w:rsidRDefault="00C425DA" w:rsidP="00CC1E52">
      <w:pPr>
        <w:spacing w:after="0" w:line="240" w:lineRule="auto"/>
        <w:rPr>
          <w:rFonts w:ascii="Times New Roman" w:hAnsi="Times New Roman" w:cs="Times New Roman"/>
          <w:sz w:val="24"/>
          <w:szCs w:val="24"/>
          <w:lang w:val="sr-Latn-CS"/>
        </w:rPr>
      </w:pPr>
    </w:p>
    <w:p w:rsidR="00C425DA" w:rsidRDefault="00C425DA"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Prilikom uboda kontaminiranim oštrim instrumentom, izlivanja potencijalno infektivnog sadržaja ili kontaminacije radioaktivnom supstancom obavezno se prijavljuje Odeljenju za bezbednost na radu.</w:t>
      </w:r>
    </w:p>
    <w:p w:rsidR="00C425DA" w:rsidRDefault="00C425DA" w:rsidP="00CC1E52">
      <w:pPr>
        <w:spacing w:after="0" w:line="240" w:lineRule="auto"/>
        <w:rPr>
          <w:rFonts w:ascii="Times New Roman" w:hAnsi="Times New Roman" w:cs="Times New Roman"/>
          <w:sz w:val="24"/>
          <w:szCs w:val="24"/>
          <w:lang w:val="sr-Latn-CS"/>
        </w:rPr>
      </w:pPr>
    </w:p>
    <w:p w:rsidR="00C425DA" w:rsidRDefault="00C425DA"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Neželjenje reakcije na lek (NRL) i neželjene reakcije na medicinsko sredstvo (NRMS) se prijavljuju u elektronskom i pisanom obliku na propisanom obrascu Agencija za lekova+e i medicinska sredstva (ALIMS). Obrazac popunjava lekar koji je konstatovao NRL ili NRMS. Evidencija se vodi u duplikatu. Jedan primerak ostaje u organizacionoj jedinici u Registru za ND, a drugi se dostavlja odgovornom licu</w:t>
      </w:r>
      <w:r w:rsidR="00973F56">
        <w:rPr>
          <w:rFonts w:ascii="Times New Roman" w:hAnsi="Times New Roman" w:cs="Times New Roman"/>
          <w:sz w:val="24"/>
          <w:szCs w:val="24"/>
          <w:lang w:val="sr-Latn-CS"/>
        </w:rPr>
        <w:t xml:space="preserve"> za farmakovigilancu. Lice za farmakovigilancu imenovano je rešenjem direktora ustanove. To lice prijavljuje ALIMPS-u NRL i NRMS u elektronskoj formi. Ista osoba je zaduđena i za kontakt sa Agencijom i mora biti dostupna 24 sata. Istovremeno je i kontakt osoba za inspekciju, ukoliko je potrebno. Ozbiljna reakcija na lek se prijavljuje u najkraćem roku (24-48 h). Ostale neželjene reakcije se prijavljuju jednom mesečno. Farmakovigilanca i obaveza prijavljivanja neželjenih reakcija se odnosi na lekove u kliničkom prometu. NRL u toku kliničkih ispitivanja se prijavljuje sponzoru.</w:t>
      </w:r>
    </w:p>
    <w:p w:rsidR="00973F56" w:rsidRDefault="00973F56" w:rsidP="00CC1E52">
      <w:pPr>
        <w:spacing w:after="0" w:line="240" w:lineRule="auto"/>
        <w:rPr>
          <w:rFonts w:ascii="Times New Roman" w:hAnsi="Times New Roman" w:cs="Times New Roman"/>
          <w:sz w:val="24"/>
          <w:szCs w:val="24"/>
          <w:lang w:val="sr-Latn-CS"/>
        </w:rPr>
      </w:pPr>
    </w:p>
    <w:p w:rsidR="00973F56" w:rsidRPr="00FB3D19" w:rsidRDefault="00973F56"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Neprijavljivanje ND, NRL i NRMS se smatra povredom radne dužnosti.</w:t>
      </w:r>
    </w:p>
    <w:p w:rsidR="00FB3D19" w:rsidRDefault="00FB3D19" w:rsidP="00CC1E52">
      <w:pPr>
        <w:spacing w:after="0" w:line="240" w:lineRule="auto"/>
        <w:rPr>
          <w:rFonts w:ascii="Times New Roman" w:hAnsi="Times New Roman" w:cs="Times New Roman"/>
          <w:b/>
          <w:sz w:val="24"/>
          <w:szCs w:val="24"/>
          <w:lang w:val="sr-Latn-CS"/>
        </w:rPr>
      </w:pPr>
    </w:p>
    <w:p w:rsidR="004E5FEF" w:rsidRPr="004B6662" w:rsidRDefault="004B6988" w:rsidP="00CC1E52">
      <w:pPr>
        <w:spacing w:after="0" w:line="240" w:lineRule="auto"/>
        <w:rPr>
          <w:rFonts w:ascii="Times New Roman" w:hAnsi="Times New Roman" w:cs="Times New Roman"/>
          <w:b/>
          <w:sz w:val="24"/>
          <w:szCs w:val="24"/>
          <w:u w:val="single"/>
          <w:lang w:val="sr-Latn-CS"/>
        </w:rPr>
      </w:pPr>
      <w:r w:rsidRPr="004B6662">
        <w:rPr>
          <w:rFonts w:ascii="Times New Roman" w:hAnsi="Times New Roman" w:cs="Times New Roman"/>
          <w:b/>
          <w:sz w:val="24"/>
          <w:szCs w:val="24"/>
          <w:u w:val="single"/>
          <w:lang w:val="sr-Latn-CS"/>
        </w:rPr>
        <w:t>EVIDENCIJA/ZAPISI</w:t>
      </w:r>
      <w:r w:rsidR="00CC1E52" w:rsidRPr="004B6662">
        <w:rPr>
          <w:rFonts w:ascii="Times New Roman" w:hAnsi="Times New Roman" w:cs="Times New Roman"/>
          <w:b/>
          <w:sz w:val="24"/>
          <w:szCs w:val="24"/>
          <w:u w:val="single"/>
          <w:lang w:val="sr-Latn-CS"/>
        </w:rPr>
        <w:t xml:space="preserve"> </w:t>
      </w:r>
    </w:p>
    <w:p w:rsidR="004B6662" w:rsidRDefault="004B6662" w:rsidP="00CC1E52">
      <w:pPr>
        <w:spacing w:after="0" w:line="240" w:lineRule="auto"/>
        <w:rPr>
          <w:rFonts w:ascii="Times New Roman" w:hAnsi="Times New Roman" w:cs="Times New Roman"/>
          <w:b/>
          <w:sz w:val="24"/>
          <w:szCs w:val="24"/>
          <w:lang w:val="sr-Latn-CS"/>
        </w:rPr>
      </w:pPr>
    </w:p>
    <w:p w:rsidR="00973F56" w:rsidRDefault="00973F56"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Registar evidencije neželjenih događaja</w:t>
      </w:r>
    </w:p>
    <w:p w:rsidR="00973F56" w:rsidRDefault="00973F56" w:rsidP="00CC1E52">
      <w:pPr>
        <w:spacing w:after="0" w:line="240" w:lineRule="auto"/>
        <w:rPr>
          <w:rFonts w:ascii="Times New Roman" w:hAnsi="Times New Roman" w:cs="Times New Roman"/>
          <w:sz w:val="24"/>
          <w:szCs w:val="24"/>
          <w:lang w:val="sr-Latn-CS"/>
        </w:rPr>
      </w:pPr>
    </w:p>
    <w:p w:rsidR="00973F56" w:rsidRPr="00973F56" w:rsidRDefault="00973F56"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Lista neželjenih događaja</w:t>
      </w:r>
    </w:p>
    <w:p w:rsidR="004B6988" w:rsidRPr="004B6988" w:rsidRDefault="004B6988" w:rsidP="00CC1E52">
      <w:pPr>
        <w:spacing w:after="0" w:line="240" w:lineRule="auto"/>
        <w:rPr>
          <w:rFonts w:ascii="Times New Roman" w:hAnsi="Times New Roman" w:cs="Times New Roman"/>
          <w:b/>
          <w:sz w:val="24"/>
          <w:szCs w:val="24"/>
          <w:lang w:val="sr-Latn-CS"/>
        </w:rPr>
      </w:pPr>
    </w:p>
    <w:p w:rsidR="004E5FEF" w:rsidRPr="004B6662" w:rsidRDefault="004E5FEF" w:rsidP="009A4F95">
      <w:pPr>
        <w:pStyle w:val="NoSpacing"/>
        <w:spacing w:after="120"/>
        <w:rPr>
          <w:b/>
          <w:bCs/>
          <w:color w:val="000000"/>
          <w:u w:val="single"/>
        </w:rPr>
      </w:pPr>
      <w:r w:rsidRPr="004B6662">
        <w:rPr>
          <w:b/>
          <w:bCs/>
          <w:color w:val="000000"/>
          <w:u w:val="single"/>
        </w:rPr>
        <w:t>ODGOVORNOST:</w:t>
      </w:r>
    </w:p>
    <w:p w:rsidR="0025649A" w:rsidRDefault="0025649A" w:rsidP="00973F56">
      <w:pPr>
        <w:spacing w:after="0"/>
        <w:ind w:right="-900"/>
        <w:jc w:val="both"/>
        <w:rPr>
          <w:rFonts w:ascii="Times New Roman" w:hAnsi="Times New Roman" w:cs="Times New Roman"/>
          <w:sz w:val="24"/>
          <w:szCs w:val="24"/>
          <w:lang w:val="sr-Latn-CS"/>
        </w:rPr>
      </w:pPr>
      <w:r w:rsidRPr="004B6662">
        <w:rPr>
          <w:rFonts w:ascii="Times New Roman" w:hAnsi="Times New Roman" w:cs="Times New Roman"/>
          <w:sz w:val="24"/>
          <w:szCs w:val="24"/>
          <w:lang w:val="sr-Latn-CS"/>
        </w:rPr>
        <w:t xml:space="preserve">Za sprovodjenje ove procedure odgovorni su </w:t>
      </w:r>
      <w:r w:rsidR="00973F56">
        <w:rPr>
          <w:rFonts w:ascii="Times New Roman" w:hAnsi="Times New Roman" w:cs="Times New Roman"/>
          <w:sz w:val="24"/>
          <w:szCs w:val="24"/>
          <w:lang w:val="sr-Latn-CS"/>
        </w:rPr>
        <w:t>svi zaposleni. Za kontrolu sprovođenja odgovoran je neposredni rukovodilac organizacione jedinice u kojoj se ND desio.</w:t>
      </w:r>
    </w:p>
    <w:p w:rsidR="00973F56" w:rsidRDefault="00973F56" w:rsidP="00973F56">
      <w:pPr>
        <w:spacing w:after="0"/>
        <w:ind w:right="-900"/>
        <w:jc w:val="both"/>
        <w:rPr>
          <w:rFonts w:ascii="Times New Roman" w:hAnsi="Times New Roman" w:cs="Times New Roman"/>
          <w:sz w:val="24"/>
          <w:szCs w:val="24"/>
          <w:lang w:val="sr-Latn-CS"/>
        </w:rPr>
      </w:pPr>
    </w:p>
    <w:p w:rsidR="00973F56" w:rsidRDefault="00973F56" w:rsidP="00973F56">
      <w:pPr>
        <w:spacing w:after="0"/>
        <w:ind w:right="-900"/>
        <w:jc w:val="both"/>
        <w:rPr>
          <w:rFonts w:ascii="Times New Roman" w:hAnsi="Times New Roman" w:cs="Times New Roman"/>
          <w:sz w:val="24"/>
          <w:szCs w:val="24"/>
          <w:lang w:val="sr-Latn-CS"/>
        </w:rPr>
      </w:pPr>
      <w:r>
        <w:rPr>
          <w:rFonts w:ascii="Times New Roman" w:hAnsi="Times New Roman" w:cs="Times New Roman"/>
          <w:sz w:val="24"/>
          <w:szCs w:val="24"/>
          <w:lang w:val="sr-Latn-CS"/>
        </w:rPr>
        <w:t>Za prijavu ND, NRL i NRMS odgovorni su svi zaposleni u kontaktu sa pacijentom</w:t>
      </w:r>
      <w:r w:rsidR="00C66348">
        <w:rPr>
          <w:rFonts w:ascii="Times New Roman" w:hAnsi="Times New Roman" w:cs="Times New Roman"/>
          <w:sz w:val="24"/>
          <w:szCs w:val="24"/>
          <w:lang w:val="sr-Latn-CS"/>
        </w:rPr>
        <w:t xml:space="preserve"> i rukovodioci, kao i odgovorno lice za farmakovigilancu.</w:t>
      </w:r>
    </w:p>
    <w:p w:rsidR="00C66348" w:rsidRDefault="00C66348" w:rsidP="00973F56">
      <w:pPr>
        <w:spacing w:after="0"/>
        <w:ind w:right="-900"/>
        <w:jc w:val="both"/>
        <w:rPr>
          <w:rFonts w:ascii="Times New Roman" w:hAnsi="Times New Roman" w:cs="Times New Roman"/>
          <w:sz w:val="24"/>
          <w:szCs w:val="24"/>
          <w:lang w:val="sr-Latn-CS"/>
        </w:rPr>
      </w:pPr>
    </w:p>
    <w:p w:rsidR="00C66348" w:rsidRPr="004B6662" w:rsidRDefault="00C66348" w:rsidP="00973F56">
      <w:pPr>
        <w:spacing w:after="0"/>
        <w:ind w:right="-900"/>
        <w:jc w:val="both"/>
        <w:rPr>
          <w:rFonts w:ascii="Times New Roman" w:hAnsi="Times New Roman" w:cs="Times New Roman"/>
          <w:sz w:val="24"/>
          <w:szCs w:val="24"/>
          <w:lang w:val="sr-Latn-CS"/>
        </w:rPr>
      </w:pPr>
      <w:r>
        <w:rPr>
          <w:rFonts w:ascii="Times New Roman" w:hAnsi="Times New Roman" w:cs="Times New Roman"/>
          <w:sz w:val="24"/>
          <w:szCs w:val="24"/>
          <w:lang w:val="sr-Latn-CS"/>
        </w:rPr>
        <w:t>Za sprovođenje procedure po prijavi ND, NRL i NRMS odgovorne osobe su svi zaposleni, neposredni rukovodioci organizacionih jedinica, kao i direktor Centra.</w:t>
      </w:r>
    </w:p>
    <w:p w:rsidR="004B6662" w:rsidRDefault="004B6662" w:rsidP="008619C1">
      <w:pPr>
        <w:spacing w:after="80"/>
        <w:ind w:right="-900"/>
        <w:jc w:val="both"/>
        <w:rPr>
          <w:b/>
          <w:bCs/>
          <w:color w:val="000000"/>
          <w:sz w:val="28"/>
          <w:szCs w:val="28"/>
          <w:u w:val="single"/>
          <w:lang w:val="sr-Latn-CS"/>
        </w:rPr>
      </w:pPr>
    </w:p>
    <w:p w:rsidR="004E5FEF" w:rsidRPr="00610611" w:rsidRDefault="004B6662" w:rsidP="008619C1">
      <w:pPr>
        <w:spacing w:after="80"/>
        <w:ind w:right="-900"/>
        <w:jc w:val="both"/>
        <w:rPr>
          <w:color w:val="000000"/>
          <w:sz w:val="28"/>
          <w:szCs w:val="28"/>
          <w:lang w:val="sr-Latn-CS"/>
        </w:rPr>
      </w:pPr>
      <w:r>
        <w:rPr>
          <w:b/>
          <w:bCs/>
          <w:color w:val="000000"/>
          <w:sz w:val="28"/>
          <w:szCs w:val="28"/>
          <w:u w:val="single"/>
          <w:lang w:val="sr-Latn-CS"/>
        </w:rPr>
        <w:t>PRILOZI</w:t>
      </w:r>
      <w:r w:rsidR="004E5FEF" w:rsidRPr="00610611">
        <w:rPr>
          <w:b/>
          <w:bCs/>
          <w:color w:val="000000"/>
          <w:sz w:val="28"/>
          <w:szCs w:val="28"/>
          <w:u w:val="single"/>
          <w:lang w:val="sr-Latn-CS"/>
        </w:rPr>
        <w:t>:</w:t>
      </w:r>
      <w:r w:rsidR="004E5FEF" w:rsidRPr="00610611">
        <w:rPr>
          <w:color w:val="000000"/>
          <w:sz w:val="28"/>
          <w:szCs w:val="28"/>
          <w:lang w:val="sr-Latn-CS"/>
        </w:rPr>
        <w:t xml:space="preserve"> </w:t>
      </w:r>
    </w:p>
    <w:p w:rsidR="00FF188A" w:rsidRDefault="00075BD6" w:rsidP="00075BD6">
      <w:pPr>
        <w:numPr>
          <w:ilvl w:val="0"/>
          <w:numId w:val="16"/>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Obrazac za prijavu neželjenog događaja</w:t>
      </w:r>
    </w:p>
    <w:p w:rsidR="00075BD6" w:rsidRDefault="00075BD6" w:rsidP="00075BD6">
      <w:pPr>
        <w:numPr>
          <w:ilvl w:val="0"/>
          <w:numId w:val="16"/>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Obrazac za prijavu neželjene reakcije na lek</w:t>
      </w:r>
    </w:p>
    <w:p w:rsidR="00075BD6" w:rsidRDefault="00075BD6" w:rsidP="00075BD6">
      <w:pPr>
        <w:numPr>
          <w:ilvl w:val="0"/>
          <w:numId w:val="16"/>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Obrazac za prijavu neželjene reakcije na medicinsko sredstvo</w:t>
      </w:r>
    </w:p>
    <w:p w:rsidR="00075BD6" w:rsidRDefault="00075BD6" w:rsidP="00075BD6">
      <w:pPr>
        <w:numPr>
          <w:ilvl w:val="0"/>
          <w:numId w:val="16"/>
        </w:num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Pravilnik o načinu prijavljivanja, prikupljanja i praćenja neželjenih reakcija na lekove (Sl. glasnik RS br 99/2006)</w:t>
      </w:r>
    </w:p>
    <w:p w:rsidR="00075BD6" w:rsidRDefault="00075BD6" w:rsidP="002F0245">
      <w:pPr>
        <w:spacing w:after="0" w:line="240" w:lineRule="auto"/>
        <w:jc w:val="both"/>
        <w:rPr>
          <w:rFonts w:ascii="Times New Roman" w:hAnsi="Times New Roman" w:cs="Times New Roman"/>
          <w:sz w:val="24"/>
          <w:szCs w:val="24"/>
          <w:lang w:val="it-IT"/>
        </w:rPr>
      </w:pPr>
    </w:p>
    <w:p w:rsidR="00075BD6" w:rsidRDefault="00075BD6" w:rsidP="002F0245">
      <w:pPr>
        <w:spacing w:after="0" w:line="240" w:lineRule="auto"/>
        <w:jc w:val="both"/>
        <w:rPr>
          <w:rFonts w:ascii="Times New Roman" w:hAnsi="Times New Roman" w:cs="Times New Roman"/>
          <w:sz w:val="24"/>
          <w:szCs w:val="24"/>
          <w:lang w:val="it-IT"/>
        </w:rPr>
      </w:pPr>
    </w:p>
    <w:p w:rsidR="00FF188A" w:rsidRPr="00FF188A" w:rsidRDefault="00FF188A" w:rsidP="002F0245">
      <w:pPr>
        <w:spacing w:after="0" w:line="240" w:lineRule="auto"/>
        <w:jc w:val="both"/>
        <w:rPr>
          <w:rFonts w:ascii="Times New Roman" w:hAnsi="Times New Roman" w:cs="Times New Roman"/>
          <w:b/>
          <w:sz w:val="24"/>
          <w:szCs w:val="24"/>
          <w:u w:val="single"/>
          <w:lang w:val="it-IT"/>
        </w:rPr>
      </w:pPr>
      <w:r w:rsidRPr="00FF188A">
        <w:rPr>
          <w:rFonts w:ascii="Times New Roman" w:hAnsi="Times New Roman" w:cs="Times New Roman"/>
          <w:b/>
          <w:sz w:val="24"/>
          <w:szCs w:val="24"/>
          <w:u w:val="single"/>
          <w:lang w:val="it-IT"/>
        </w:rPr>
        <w:t>LISTA DISTRIBUCIJA</w:t>
      </w:r>
    </w:p>
    <w:p w:rsidR="004E5FEF" w:rsidRDefault="004E5FEF" w:rsidP="003F4651">
      <w:pPr>
        <w:spacing w:line="360" w:lineRule="auto"/>
        <w:jc w:val="both"/>
        <w:rPr>
          <w:sz w:val="24"/>
          <w:szCs w:val="24"/>
          <w:lang w:val="sr-Latn-CS"/>
        </w:rPr>
      </w:pPr>
    </w:p>
    <w:p w:rsidR="00FF188A" w:rsidRDefault="00FF188A" w:rsidP="003F4651">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Naziv dokumenta: ____________________________________________________________</w:t>
      </w:r>
    </w:p>
    <w:p w:rsidR="004E5FEF" w:rsidRDefault="00FF188A" w:rsidP="003F4651">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Datum: ______________  godine</w:t>
      </w: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p w:rsidR="00BE136C" w:rsidRDefault="00BE136C" w:rsidP="003F4651">
      <w:pPr>
        <w:spacing w:line="360" w:lineRule="auto"/>
        <w:jc w:val="both"/>
        <w:rPr>
          <w:rFonts w:ascii="Times New Roman" w:hAnsi="Times New Roman" w:cs="Times New Roman"/>
          <w:sz w:val="24"/>
          <w:szCs w:val="24"/>
          <w:lang w:val="sr-Latn-CS"/>
        </w:rPr>
      </w:pPr>
    </w:p>
    <w:sectPr w:rsidR="00BE136C" w:rsidSect="0002359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36" w:rsidRDefault="006D2836" w:rsidP="004765A0">
      <w:pPr>
        <w:spacing w:after="0" w:line="240" w:lineRule="auto"/>
      </w:pPr>
      <w:r>
        <w:separator/>
      </w:r>
    </w:p>
  </w:endnote>
  <w:endnote w:type="continuationSeparator" w:id="0">
    <w:p w:rsidR="006D2836" w:rsidRDefault="006D2836" w:rsidP="0047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CC" w:rsidRDefault="006841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CC" w:rsidRDefault="006841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CC" w:rsidRDefault="006841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36" w:rsidRDefault="006D2836" w:rsidP="004765A0">
      <w:pPr>
        <w:spacing w:after="0" w:line="240" w:lineRule="auto"/>
      </w:pPr>
      <w:r>
        <w:separator/>
      </w:r>
    </w:p>
  </w:footnote>
  <w:footnote w:type="continuationSeparator" w:id="0">
    <w:p w:rsidR="006D2836" w:rsidRDefault="006D2836" w:rsidP="0047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CC" w:rsidRDefault="006841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1"/>
      <w:gridCol w:w="5655"/>
      <w:gridCol w:w="804"/>
      <w:gridCol w:w="1321"/>
    </w:tblGrid>
    <w:tr w:rsidR="004E5FEF" w:rsidRPr="00D6579E">
      <w:trPr>
        <w:trHeight w:val="563"/>
        <w:jc w:val="center"/>
      </w:trPr>
      <w:tc>
        <w:tcPr>
          <w:tcW w:w="1871" w:type="dxa"/>
          <w:vMerge w:val="restart"/>
          <w:vAlign w:val="center"/>
        </w:tcPr>
        <w:p w:rsidR="004E5FEF" w:rsidRPr="00D6579E" w:rsidRDefault="004E5FEF" w:rsidP="00D6579E">
          <w:pPr>
            <w:pStyle w:val="Header"/>
            <w:jc w:val="center"/>
            <w:rPr>
              <w:sz w:val="24"/>
              <w:szCs w:val="24"/>
            </w:rPr>
          </w:pPr>
        </w:p>
      </w:tc>
      <w:tc>
        <w:tcPr>
          <w:tcW w:w="5655" w:type="dxa"/>
          <w:vMerge w:val="restart"/>
          <w:vAlign w:val="center"/>
        </w:tcPr>
        <w:p w:rsidR="004E5FEF" w:rsidRPr="00526D36" w:rsidRDefault="00526D36" w:rsidP="00526D36">
          <w:pPr>
            <w:spacing w:after="0" w:line="240" w:lineRule="auto"/>
            <w:jc w:val="center"/>
            <w:rPr>
              <w:sz w:val="40"/>
              <w:szCs w:val="40"/>
              <w:lang w:val="it-IT"/>
            </w:rPr>
          </w:pPr>
          <w:r w:rsidRPr="00526D36">
            <w:rPr>
              <w:sz w:val="28"/>
              <w:szCs w:val="40"/>
              <w:lang w:val="it-IT"/>
            </w:rPr>
            <w:t>PROC</w:t>
          </w:r>
          <w:r w:rsidR="006841CC">
            <w:rPr>
              <w:sz w:val="28"/>
              <w:szCs w:val="40"/>
              <w:lang w:val="it-IT"/>
            </w:rPr>
            <w:t>EDURA O POSTUPANJU U SLUČAJU NEŽ</w:t>
          </w:r>
          <w:r w:rsidRPr="00526D36">
            <w:rPr>
              <w:sz w:val="28"/>
              <w:szCs w:val="40"/>
              <w:lang w:val="it-IT"/>
            </w:rPr>
            <w:t>ELJENOG DOGAĐAJA I NEŽELJENIH REAKCIJA NA LEK I MEDICINSKO SREDSTVO</w:t>
          </w:r>
        </w:p>
      </w:tc>
      <w:tc>
        <w:tcPr>
          <w:tcW w:w="804" w:type="dxa"/>
          <w:vAlign w:val="center"/>
        </w:tcPr>
        <w:p w:rsidR="004E5FEF" w:rsidRPr="00D6579E" w:rsidRDefault="004E5FEF" w:rsidP="00D6579E">
          <w:pPr>
            <w:pStyle w:val="Header"/>
            <w:jc w:val="center"/>
            <w:rPr>
              <w:sz w:val="24"/>
              <w:szCs w:val="24"/>
            </w:rPr>
          </w:pPr>
          <w:r w:rsidRPr="00D6579E">
            <w:rPr>
              <w:sz w:val="24"/>
              <w:szCs w:val="24"/>
            </w:rPr>
            <w:t>Broj:</w:t>
          </w:r>
        </w:p>
      </w:tc>
      <w:tc>
        <w:tcPr>
          <w:tcW w:w="1321" w:type="dxa"/>
          <w:vAlign w:val="center"/>
        </w:tcPr>
        <w:p w:rsidR="004E5FEF" w:rsidRPr="00D6579E" w:rsidRDefault="00653C4D" w:rsidP="00D6579E">
          <w:pPr>
            <w:pStyle w:val="Header"/>
            <w:jc w:val="center"/>
            <w:rPr>
              <w:sz w:val="24"/>
              <w:szCs w:val="24"/>
            </w:rPr>
          </w:pPr>
          <w:r>
            <w:rPr>
              <w:sz w:val="24"/>
              <w:szCs w:val="24"/>
            </w:rPr>
            <w:t>1</w:t>
          </w:r>
        </w:p>
      </w:tc>
    </w:tr>
    <w:tr w:rsidR="004E5FEF" w:rsidRPr="00D6579E">
      <w:trPr>
        <w:trHeight w:val="272"/>
        <w:jc w:val="center"/>
      </w:trPr>
      <w:tc>
        <w:tcPr>
          <w:tcW w:w="1871" w:type="dxa"/>
          <w:vMerge/>
          <w:vAlign w:val="center"/>
        </w:tcPr>
        <w:p w:rsidR="004E5FEF" w:rsidRPr="00D6579E" w:rsidRDefault="004E5FEF" w:rsidP="00D6579E">
          <w:pPr>
            <w:pStyle w:val="Header"/>
            <w:jc w:val="center"/>
            <w:rPr>
              <w:sz w:val="24"/>
              <w:szCs w:val="24"/>
            </w:rPr>
          </w:pPr>
        </w:p>
      </w:tc>
      <w:tc>
        <w:tcPr>
          <w:tcW w:w="5655" w:type="dxa"/>
          <w:vMerge/>
          <w:vAlign w:val="center"/>
        </w:tcPr>
        <w:p w:rsidR="004E5FEF" w:rsidRPr="00D6579E" w:rsidRDefault="004E5FEF" w:rsidP="00D6579E">
          <w:pPr>
            <w:pStyle w:val="Header"/>
            <w:jc w:val="center"/>
            <w:rPr>
              <w:sz w:val="24"/>
              <w:szCs w:val="24"/>
            </w:rPr>
          </w:pPr>
        </w:p>
      </w:tc>
      <w:tc>
        <w:tcPr>
          <w:tcW w:w="2125" w:type="dxa"/>
          <w:gridSpan w:val="2"/>
          <w:vAlign w:val="center"/>
        </w:tcPr>
        <w:p w:rsidR="004E5FEF" w:rsidRPr="00D6579E" w:rsidRDefault="004E5FEF" w:rsidP="0025649A">
          <w:pPr>
            <w:pStyle w:val="Header"/>
            <w:rPr>
              <w:sz w:val="24"/>
              <w:szCs w:val="24"/>
            </w:rPr>
          </w:pPr>
          <w:r w:rsidRPr="00D6579E">
            <w:rPr>
              <w:sz w:val="24"/>
              <w:szCs w:val="24"/>
            </w:rPr>
            <w:t>Datum:</w:t>
          </w:r>
        </w:p>
      </w:tc>
    </w:tr>
    <w:tr w:rsidR="004E5FEF" w:rsidRPr="00D6579E">
      <w:trPr>
        <w:trHeight w:val="192"/>
        <w:jc w:val="center"/>
      </w:trPr>
      <w:tc>
        <w:tcPr>
          <w:tcW w:w="1871" w:type="dxa"/>
          <w:vMerge/>
          <w:vAlign w:val="center"/>
        </w:tcPr>
        <w:p w:rsidR="004E5FEF" w:rsidRPr="00D6579E" w:rsidRDefault="004E5FEF" w:rsidP="00D6579E">
          <w:pPr>
            <w:pStyle w:val="Header"/>
            <w:jc w:val="center"/>
            <w:rPr>
              <w:sz w:val="24"/>
              <w:szCs w:val="24"/>
            </w:rPr>
          </w:pPr>
        </w:p>
      </w:tc>
      <w:tc>
        <w:tcPr>
          <w:tcW w:w="5655" w:type="dxa"/>
          <w:vMerge/>
          <w:vAlign w:val="center"/>
        </w:tcPr>
        <w:p w:rsidR="004E5FEF" w:rsidRPr="00D6579E" w:rsidRDefault="004E5FEF" w:rsidP="00D6579E">
          <w:pPr>
            <w:pStyle w:val="Header"/>
            <w:jc w:val="center"/>
            <w:rPr>
              <w:sz w:val="24"/>
              <w:szCs w:val="24"/>
            </w:rPr>
          </w:pPr>
        </w:p>
      </w:tc>
      <w:tc>
        <w:tcPr>
          <w:tcW w:w="2125" w:type="dxa"/>
          <w:gridSpan w:val="2"/>
          <w:vAlign w:val="center"/>
        </w:tcPr>
        <w:p w:rsidR="004E5FEF" w:rsidRPr="00D6579E" w:rsidRDefault="004E5FEF" w:rsidP="0025649A">
          <w:pPr>
            <w:spacing w:after="0" w:line="240" w:lineRule="auto"/>
          </w:pPr>
          <w:r w:rsidRPr="00D6579E">
            <w:rPr>
              <w:sz w:val="24"/>
              <w:szCs w:val="24"/>
            </w:rPr>
            <w:t xml:space="preserve">Strana: </w:t>
          </w:r>
          <w:r w:rsidRPr="00D6579E">
            <w:t xml:space="preserve"> </w:t>
          </w:r>
          <w:r w:rsidR="00524CCD">
            <w:fldChar w:fldCharType="begin"/>
          </w:r>
          <w:r w:rsidR="00EF6ACA">
            <w:instrText xml:space="preserve"> PAGE </w:instrText>
          </w:r>
          <w:r w:rsidR="00524CCD">
            <w:fldChar w:fldCharType="separate"/>
          </w:r>
          <w:r w:rsidR="00550E35">
            <w:rPr>
              <w:noProof/>
            </w:rPr>
            <w:t>4</w:t>
          </w:r>
          <w:r w:rsidR="00524CCD">
            <w:rPr>
              <w:noProof/>
            </w:rPr>
            <w:fldChar w:fldCharType="end"/>
          </w:r>
          <w:r w:rsidRPr="00D6579E">
            <w:t>/</w:t>
          </w:r>
          <w:fldSimple w:instr=" NUMPAGES  ">
            <w:r w:rsidR="00550E35">
              <w:rPr>
                <w:noProof/>
              </w:rPr>
              <w:t>4</w:t>
            </w:r>
          </w:fldSimple>
        </w:p>
      </w:tc>
    </w:tr>
  </w:tbl>
  <w:p w:rsidR="004E5FEF" w:rsidRDefault="004E5F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9A" w:rsidRDefault="0025649A" w:rsidP="0025649A">
    <w:pPr>
      <w:pStyle w:val="Header"/>
      <w:tabs>
        <w:tab w:val="clear" w:pos="4680"/>
        <w:tab w:val="clear" w:pos="9360"/>
        <w:tab w:val="center" w:pos="4513"/>
        <w:tab w:val="right" w:pos="9027"/>
      </w:tabs>
      <w:rPr>
        <w:b/>
        <w:noProof/>
        <w:sz w:val="16"/>
        <w:szCs w:val="16"/>
      </w:rPr>
    </w:pPr>
    <w:r>
      <w:tab/>
    </w:r>
    <w:r w:rsidR="006D2836">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KCS logo.png" style="width:57.75pt;height:57.75pt;visibility:visible;mso-wrap-style:square">
          <v:imagedata r:id="rId1" o:title="KCS logo"/>
        </v:shape>
      </w:pict>
    </w:r>
  </w:p>
  <w:p w:rsidR="0025649A" w:rsidRPr="00BE0481" w:rsidRDefault="0025649A" w:rsidP="0025649A">
    <w:pPr>
      <w:spacing w:after="0" w:line="240" w:lineRule="auto"/>
      <w:jc w:val="center"/>
      <w:rPr>
        <w:rFonts w:ascii="Times New Roman" w:eastAsia="Times New Roman" w:hAnsi="Times New Roman" w:cs="Times New Roman"/>
        <w:sz w:val="16"/>
        <w:szCs w:val="16"/>
        <w:lang w:val="es-ES"/>
      </w:rPr>
    </w:pPr>
    <w:r w:rsidRPr="00BE0481">
      <w:rPr>
        <w:rFonts w:ascii="Times New Roman" w:eastAsia="Times New Roman" w:hAnsi="Times New Roman" w:cs="Times New Roman"/>
        <w:sz w:val="16"/>
        <w:szCs w:val="16"/>
        <w:lang w:val="es-ES"/>
      </w:rPr>
      <w:t>Centar za nuklearnu medicinu,</w:t>
    </w:r>
  </w:p>
  <w:p w:rsidR="0025649A" w:rsidRPr="00BE7889" w:rsidRDefault="0025649A" w:rsidP="0025649A">
    <w:pPr>
      <w:spacing w:after="0" w:line="240" w:lineRule="auto"/>
      <w:jc w:val="center"/>
      <w:rPr>
        <w:rFonts w:ascii="Times New Roman" w:eastAsia="Times New Roman" w:hAnsi="Times New Roman" w:cs="Times New Roman"/>
        <w:sz w:val="16"/>
        <w:szCs w:val="16"/>
        <w:lang w:val="es-ES"/>
      </w:rPr>
    </w:pPr>
    <w:r w:rsidRPr="00BE0481">
      <w:rPr>
        <w:rFonts w:ascii="Times New Roman" w:eastAsia="Times New Roman" w:hAnsi="Times New Roman" w:cs="Times New Roman"/>
        <w:sz w:val="16"/>
        <w:szCs w:val="16"/>
        <w:lang w:val="es-ES"/>
      </w:rPr>
      <w:t>Klini</w:t>
    </w:r>
    <w:r w:rsidRPr="00BE7889">
      <w:rPr>
        <w:rFonts w:ascii="Times New Roman" w:eastAsia="Times New Roman" w:hAnsi="Times New Roman" w:cs="Times New Roman"/>
        <w:sz w:val="16"/>
        <w:szCs w:val="16"/>
        <w:lang w:val="es-ES"/>
      </w:rPr>
      <w:t>čki centar Srbije</w:t>
    </w:r>
  </w:p>
  <w:p w:rsidR="0025649A" w:rsidRPr="0025649A" w:rsidRDefault="0025649A" w:rsidP="0025649A">
    <w:pPr>
      <w:spacing w:after="0" w:line="240" w:lineRule="auto"/>
      <w:jc w:val="center"/>
      <w:rPr>
        <w:rFonts w:ascii="Times New Roman" w:eastAsia="Times New Roman" w:hAnsi="Times New Roman" w:cs="Times New Roman"/>
        <w:sz w:val="16"/>
        <w:szCs w:val="16"/>
      </w:rPr>
    </w:pPr>
    <w:r w:rsidRPr="0025649A">
      <w:rPr>
        <w:rFonts w:ascii="Times New Roman" w:eastAsia="Times New Roman" w:hAnsi="Times New Roman" w:cs="Times New Roman"/>
        <w:sz w:val="16"/>
        <w:szCs w:val="16"/>
      </w:rPr>
      <w:t>Visegradska 26, 11000 Bograd, Srbija</w:t>
    </w:r>
  </w:p>
  <w:p w:rsidR="0025649A" w:rsidRPr="0025649A" w:rsidRDefault="0025649A" w:rsidP="0025649A">
    <w:pPr>
      <w:spacing w:after="0" w:line="240" w:lineRule="auto"/>
      <w:jc w:val="center"/>
      <w:rPr>
        <w:sz w:val="16"/>
        <w:szCs w:val="16"/>
      </w:rPr>
    </w:pPr>
    <w:r w:rsidRPr="0025649A">
      <w:rPr>
        <w:sz w:val="16"/>
        <w:szCs w:val="16"/>
      </w:rPr>
      <w:t>Tel/fax +381113615641; +381113663354</w:t>
    </w:r>
  </w:p>
  <w:p w:rsidR="0025649A" w:rsidRPr="0025649A" w:rsidRDefault="0025649A" w:rsidP="0025649A">
    <w:pPr>
      <w:spacing w:after="0" w:line="240" w:lineRule="auto"/>
      <w:jc w:val="center"/>
      <w:rPr>
        <w:rFonts w:ascii="Times New Roman" w:eastAsia="Times New Roman" w:hAnsi="Times New Roman" w:cs="Times New Roman"/>
        <w:sz w:val="16"/>
        <w:szCs w:val="16"/>
      </w:rPr>
    </w:pPr>
    <w:r w:rsidRPr="0025649A">
      <w:rPr>
        <w:sz w:val="16"/>
        <w:szCs w:val="16"/>
      </w:rPr>
      <w:t>e-mail:</w:t>
    </w:r>
  </w:p>
  <w:p w:rsidR="004E5FEF" w:rsidRPr="0025649A" w:rsidRDefault="004E5FEF" w:rsidP="0025649A">
    <w:pPr>
      <w:pStyle w:val="Header"/>
      <w:tabs>
        <w:tab w:val="clear" w:pos="4680"/>
        <w:tab w:val="clear" w:pos="9360"/>
        <w:tab w:val="center" w:pos="4513"/>
        <w:tab w:val="right" w:pos="9027"/>
      </w:tabs>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ABC"/>
    <w:multiLevelType w:val="hybridMultilevel"/>
    <w:tmpl w:val="F740D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37A8A"/>
    <w:multiLevelType w:val="hybridMultilevel"/>
    <w:tmpl w:val="A54858E8"/>
    <w:lvl w:ilvl="0" w:tplc="04090001">
      <w:start w:val="1"/>
      <w:numFmt w:val="bullet"/>
      <w:lvlText w:val=""/>
      <w:lvlJc w:val="left"/>
      <w:pPr>
        <w:tabs>
          <w:tab w:val="num" w:pos="2400"/>
        </w:tabs>
        <w:ind w:left="2400" w:hanging="360"/>
      </w:pPr>
      <w:rPr>
        <w:rFonts w:ascii="Symbol" w:hAnsi="Symbol" w:cs="Symbol" w:hint="default"/>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start w:val="1"/>
      <w:numFmt w:val="bullet"/>
      <w:lvlText w:val=""/>
      <w:lvlJc w:val="left"/>
      <w:pPr>
        <w:tabs>
          <w:tab w:val="num" w:pos="3840"/>
        </w:tabs>
        <w:ind w:left="3840" w:hanging="360"/>
      </w:pPr>
      <w:rPr>
        <w:rFonts w:ascii="Wingdings" w:hAnsi="Wingdings" w:cs="Wingdings" w:hint="default"/>
      </w:rPr>
    </w:lvl>
    <w:lvl w:ilvl="3" w:tplc="04090001">
      <w:start w:val="1"/>
      <w:numFmt w:val="bullet"/>
      <w:lvlText w:val=""/>
      <w:lvlJc w:val="left"/>
      <w:pPr>
        <w:tabs>
          <w:tab w:val="num" w:pos="4560"/>
        </w:tabs>
        <w:ind w:left="4560" w:hanging="360"/>
      </w:pPr>
      <w:rPr>
        <w:rFonts w:ascii="Symbol" w:hAnsi="Symbol" w:cs="Symbol" w:hint="default"/>
      </w:rPr>
    </w:lvl>
    <w:lvl w:ilvl="4" w:tplc="04090003">
      <w:start w:val="1"/>
      <w:numFmt w:val="bullet"/>
      <w:lvlText w:val="o"/>
      <w:lvlJc w:val="left"/>
      <w:pPr>
        <w:tabs>
          <w:tab w:val="num" w:pos="5280"/>
        </w:tabs>
        <w:ind w:left="5280" w:hanging="360"/>
      </w:pPr>
      <w:rPr>
        <w:rFonts w:ascii="Courier New" w:hAnsi="Courier New" w:cs="Courier New" w:hint="default"/>
      </w:rPr>
    </w:lvl>
    <w:lvl w:ilvl="5" w:tplc="04090005">
      <w:start w:val="1"/>
      <w:numFmt w:val="bullet"/>
      <w:lvlText w:val=""/>
      <w:lvlJc w:val="left"/>
      <w:pPr>
        <w:tabs>
          <w:tab w:val="num" w:pos="6000"/>
        </w:tabs>
        <w:ind w:left="6000" w:hanging="360"/>
      </w:pPr>
      <w:rPr>
        <w:rFonts w:ascii="Wingdings" w:hAnsi="Wingdings" w:cs="Wingdings" w:hint="default"/>
      </w:rPr>
    </w:lvl>
    <w:lvl w:ilvl="6" w:tplc="04090001">
      <w:start w:val="1"/>
      <w:numFmt w:val="bullet"/>
      <w:lvlText w:val=""/>
      <w:lvlJc w:val="left"/>
      <w:pPr>
        <w:tabs>
          <w:tab w:val="num" w:pos="6720"/>
        </w:tabs>
        <w:ind w:left="6720" w:hanging="360"/>
      </w:pPr>
      <w:rPr>
        <w:rFonts w:ascii="Symbol" w:hAnsi="Symbol" w:cs="Symbol" w:hint="default"/>
      </w:rPr>
    </w:lvl>
    <w:lvl w:ilvl="7" w:tplc="04090003">
      <w:start w:val="1"/>
      <w:numFmt w:val="bullet"/>
      <w:lvlText w:val="o"/>
      <w:lvlJc w:val="left"/>
      <w:pPr>
        <w:tabs>
          <w:tab w:val="num" w:pos="7440"/>
        </w:tabs>
        <w:ind w:left="7440" w:hanging="360"/>
      </w:pPr>
      <w:rPr>
        <w:rFonts w:ascii="Courier New" w:hAnsi="Courier New" w:cs="Courier New" w:hint="default"/>
      </w:rPr>
    </w:lvl>
    <w:lvl w:ilvl="8" w:tplc="04090005">
      <w:start w:val="1"/>
      <w:numFmt w:val="bullet"/>
      <w:lvlText w:val=""/>
      <w:lvlJc w:val="left"/>
      <w:pPr>
        <w:tabs>
          <w:tab w:val="num" w:pos="8160"/>
        </w:tabs>
        <w:ind w:left="8160" w:hanging="360"/>
      </w:pPr>
      <w:rPr>
        <w:rFonts w:ascii="Wingdings" w:hAnsi="Wingdings" w:cs="Wingdings" w:hint="default"/>
      </w:rPr>
    </w:lvl>
  </w:abstractNum>
  <w:abstractNum w:abstractNumId="2" w15:restartNumberingAfterBreak="0">
    <w:nsid w:val="154B1274"/>
    <w:multiLevelType w:val="hybridMultilevel"/>
    <w:tmpl w:val="BAC25BE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21945D6A"/>
    <w:multiLevelType w:val="hybridMultilevel"/>
    <w:tmpl w:val="B8AAC6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6A8343A"/>
    <w:multiLevelType w:val="hybridMultilevel"/>
    <w:tmpl w:val="BD108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1D1535"/>
    <w:multiLevelType w:val="hybridMultilevel"/>
    <w:tmpl w:val="22F09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B012D"/>
    <w:multiLevelType w:val="hybridMultilevel"/>
    <w:tmpl w:val="8924B7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5941D14"/>
    <w:multiLevelType w:val="hybridMultilevel"/>
    <w:tmpl w:val="943C3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CE5FD1"/>
    <w:multiLevelType w:val="hybridMultilevel"/>
    <w:tmpl w:val="5AAAC470"/>
    <w:lvl w:ilvl="0" w:tplc="928458C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0DD25F8"/>
    <w:multiLevelType w:val="multilevel"/>
    <w:tmpl w:val="A2B216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2951B1"/>
    <w:multiLevelType w:val="hybridMultilevel"/>
    <w:tmpl w:val="EB662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62F058E"/>
    <w:multiLevelType w:val="hybridMultilevel"/>
    <w:tmpl w:val="1B6E8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C42723"/>
    <w:multiLevelType w:val="hybridMultilevel"/>
    <w:tmpl w:val="3552F8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5BA339A"/>
    <w:multiLevelType w:val="hybridMultilevel"/>
    <w:tmpl w:val="926E26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84A0849"/>
    <w:multiLevelType w:val="hybridMultilevel"/>
    <w:tmpl w:val="FF8AE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51079"/>
    <w:multiLevelType w:val="hybridMultilevel"/>
    <w:tmpl w:val="28D60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0"/>
  </w:num>
  <w:num w:numId="4">
    <w:abstractNumId w:val="4"/>
  </w:num>
  <w:num w:numId="5">
    <w:abstractNumId w:val="15"/>
  </w:num>
  <w:num w:numId="6">
    <w:abstractNumId w:val="11"/>
  </w:num>
  <w:num w:numId="7">
    <w:abstractNumId w:val="2"/>
  </w:num>
  <w:num w:numId="8">
    <w:abstractNumId w:val="8"/>
  </w:num>
  <w:num w:numId="9">
    <w:abstractNumId w:val="13"/>
  </w:num>
  <w:num w:numId="10">
    <w:abstractNumId w:val="12"/>
  </w:num>
  <w:num w:numId="11">
    <w:abstractNumId w:val="6"/>
  </w:num>
  <w:num w:numId="12">
    <w:abstractNumId w:val="9"/>
  </w:num>
  <w:num w:numId="13">
    <w:abstractNumId w:val="3"/>
  </w:num>
  <w:num w:numId="14">
    <w:abstractNumId w:val="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NotTrackMove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E17"/>
    <w:rsid w:val="00007A17"/>
    <w:rsid w:val="000117AE"/>
    <w:rsid w:val="000130F9"/>
    <w:rsid w:val="00023597"/>
    <w:rsid w:val="00027199"/>
    <w:rsid w:val="00032B6D"/>
    <w:rsid w:val="000423A1"/>
    <w:rsid w:val="00042E78"/>
    <w:rsid w:val="0006221D"/>
    <w:rsid w:val="00066253"/>
    <w:rsid w:val="0006794F"/>
    <w:rsid w:val="00075BD6"/>
    <w:rsid w:val="000C6385"/>
    <w:rsid w:val="0013425B"/>
    <w:rsid w:val="0014701A"/>
    <w:rsid w:val="00150B87"/>
    <w:rsid w:val="0015493F"/>
    <w:rsid w:val="00156530"/>
    <w:rsid w:val="001C5DE9"/>
    <w:rsid w:val="001D751A"/>
    <w:rsid w:val="001F3910"/>
    <w:rsid w:val="00203150"/>
    <w:rsid w:val="0020494D"/>
    <w:rsid w:val="00221998"/>
    <w:rsid w:val="002303A2"/>
    <w:rsid w:val="00253B42"/>
    <w:rsid w:val="0025649A"/>
    <w:rsid w:val="002805F8"/>
    <w:rsid w:val="002B1070"/>
    <w:rsid w:val="002C0837"/>
    <w:rsid w:val="002D740B"/>
    <w:rsid w:val="002E5667"/>
    <w:rsid w:val="002F0245"/>
    <w:rsid w:val="002F359C"/>
    <w:rsid w:val="003047E2"/>
    <w:rsid w:val="003062D0"/>
    <w:rsid w:val="0031264B"/>
    <w:rsid w:val="00341CC0"/>
    <w:rsid w:val="0034464E"/>
    <w:rsid w:val="0035389C"/>
    <w:rsid w:val="003562B7"/>
    <w:rsid w:val="00371F73"/>
    <w:rsid w:val="003812DE"/>
    <w:rsid w:val="00392953"/>
    <w:rsid w:val="003B7A8E"/>
    <w:rsid w:val="003C6A0C"/>
    <w:rsid w:val="003D5C21"/>
    <w:rsid w:val="003D5F4B"/>
    <w:rsid w:val="003F4651"/>
    <w:rsid w:val="00460487"/>
    <w:rsid w:val="004765A0"/>
    <w:rsid w:val="00485BF3"/>
    <w:rsid w:val="004B6662"/>
    <w:rsid w:val="004B6988"/>
    <w:rsid w:val="004D46FE"/>
    <w:rsid w:val="004E5FEF"/>
    <w:rsid w:val="004F3C49"/>
    <w:rsid w:val="005164F7"/>
    <w:rsid w:val="00524CCD"/>
    <w:rsid w:val="00526D36"/>
    <w:rsid w:val="00527003"/>
    <w:rsid w:val="005279F6"/>
    <w:rsid w:val="00531566"/>
    <w:rsid w:val="00547E17"/>
    <w:rsid w:val="00550E35"/>
    <w:rsid w:val="00551601"/>
    <w:rsid w:val="00556C30"/>
    <w:rsid w:val="00590BB8"/>
    <w:rsid w:val="005A4F30"/>
    <w:rsid w:val="005B0CE1"/>
    <w:rsid w:val="005B41B7"/>
    <w:rsid w:val="005B639D"/>
    <w:rsid w:val="005E7F41"/>
    <w:rsid w:val="00610611"/>
    <w:rsid w:val="00622E42"/>
    <w:rsid w:val="006427D2"/>
    <w:rsid w:val="00653C4D"/>
    <w:rsid w:val="006824BD"/>
    <w:rsid w:val="006841CC"/>
    <w:rsid w:val="006842BA"/>
    <w:rsid w:val="006C434E"/>
    <w:rsid w:val="006D2836"/>
    <w:rsid w:val="00711F62"/>
    <w:rsid w:val="00786589"/>
    <w:rsid w:val="00795627"/>
    <w:rsid w:val="007A065F"/>
    <w:rsid w:val="007B6429"/>
    <w:rsid w:val="007E0EA9"/>
    <w:rsid w:val="007F275E"/>
    <w:rsid w:val="008260F3"/>
    <w:rsid w:val="008311BB"/>
    <w:rsid w:val="0085440B"/>
    <w:rsid w:val="00856767"/>
    <w:rsid w:val="008619C1"/>
    <w:rsid w:val="0087072F"/>
    <w:rsid w:val="00880AAB"/>
    <w:rsid w:val="008865B0"/>
    <w:rsid w:val="00892FC1"/>
    <w:rsid w:val="008B4473"/>
    <w:rsid w:val="008D3408"/>
    <w:rsid w:val="008D673A"/>
    <w:rsid w:val="009225DE"/>
    <w:rsid w:val="0093684E"/>
    <w:rsid w:val="00950DED"/>
    <w:rsid w:val="00955172"/>
    <w:rsid w:val="00973F56"/>
    <w:rsid w:val="00983F6B"/>
    <w:rsid w:val="00984BC1"/>
    <w:rsid w:val="009A4F95"/>
    <w:rsid w:val="009B2243"/>
    <w:rsid w:val="009C30AE"/>
    <w:rsid w:val="009C57B8"/>
    <w:rsid w:val="00A045E8"/>
    <w:rsid w:val="00A1092B"/>
    <w:rsid w:val="00A1342E"/>
    <w:rsid w:val="00A621F6"/>
    <w:rsid w:val="00A65D9C"/>
    <w:rsid w:val="00A745E2"/>
    <w:rsid w:val="00A81AFA"/>
    <w:rsid w:val="00A87EE2"/>
    <w:rsid w:val="00A9336B"/>
    <w:rsid w:val="00A94237"/>
    <w:rsid w:val="00AA39F3"/>
    <w:rsid w:val="00AA6D4C"/>
    <w:rsid w:val="00AB136B"/>
    <w:rsid w:val="00AE7D88"/>
    <w:rsid w:val="00B1160D"/>
    <w:rsid w:val="00B167B5"/>
    <w:rsid w:val="00B47AAD"/>
    <w:rsid w:val="00B53E5E"/>
    <w:rsid w:val="00B6461E"/>
    <w:rsid w:val="00B7582C"/>
    <w:rsid w:val="00B82BB9"/>
    <w:rsid w:val="00B82F48"/>
    <w:rsid w:val="00BB1805"/>
    <w:rsid w:val="00BD7AC9"/>
    <w:rsid w:val="00BE0481"/>
    <w:rsid w:val="00BE0EB7"/>
    <w:rsid w:val="00BE136C"/>
    <w:rsid w:val="00BE6F15"/>
    <w:rsid w:val="00BE7889"/>
    <w:rsid w:val="00BF5508"/>
    <w:rsid w:val="00C11052"/>
    <w:rsid w:val="00C1679A"/>
    <w:rsid w:val="00C425DA"/>
    <w:rsid w:val="00C53954"/>
    <w:rsid w:val="00C54742"/>
    <w:rsid w:val="00C66348"/>
    <w:rsid w:val="00C70F84"/>
    <w:rsid w:val="00C73906"/>
    <w:rsid w:val="00C95F8F"/>
    <w:rsid w:val="00CC1E52"/>
    <w:rsid w:val="00CD684E"/>
    <w:rsid w:val="00CE362F"/>
    <w:rsid w:val="00CF00D9"/>
    <w:rsid w:val="00CF04B0"/>
    <w:rsid w:val="00CF61ED"/>
    <w:rsid w:val="00CF6933"/>
    <w:rsid w:val="00D071A9"/>
    <w:rsid w:val="00D10CC1"/>
    <w:rsid w:val="00D53921"/>
    <w:rsid w:val="00D55B4D"/>
    <w:rsid w:val="00D65712"/>
    <w:rsid w:val="00D6579E"/>
    <w:rsid w:val="00D729B0"/>
    <w:rsid w:val="00D7539B"/>
    <w:rsid w:val="00D8189F"/>
    <w:rsid w:val="00D955FE"/>
    <w:rsid w:val="00DA0E9C"/>
    <w:rsid w:val="00DA6A45"/>
    <w:rsid w:val="00DB2D47"/>
    <w:rsid w:val="00DD6AE4"/>
    <w:rsid w:val="00DE12F3"/>
    <w:rsid w:val="00DF39B1"/>
    <w:rsid w:val="00E23358"/>
    <w:rsid w:val="00E36D1A"/>
    <w:rsid w:val="00E6300A"/>
    <w:rsid w:val="00E7579E"/>
    <w:rsid w:val="00E84B69"/>
    <w:rsid w:val="00E86451"/>
    <w:rsid w:val="00E96E4F"/>
    <w:rsid w:val="00EB3B6C"/>
    <w:rsid w:val="00EB46DA"/>
    <w:rsid w:val="00EB4A49"/>
    <w:rsid w:val="00EB4A6D"/>
    <w:rsid w:val="00EE1633"/>
    <w:rsid w:val="00EF5803"/>
    <w:rsid w:val="00EF6ACA"/>
    <w:rsid w:val="00F04B61"/>
    <w:rsid w:val="00F41FE8"/>
    <w:rsid w:val="00F45294"/>
    <w:rsid w:val="00F47569"/>
    <w:rsid w:val="00F615D5"/>
    <w:rsid w:val="00F826FD"/>
    <w:rsid w:val="00F960CC"/>
    <w:rsid w:val="00FA1300"/>
    <w:rsid w:val="00FA622C"/>
    <w:rsid w:val="00FB3D19"/>
    <w:rsid w:val="00FE5445"/>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80341D-D3AC-47A8-A613-EEEEA2EC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4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465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4765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765A0"/>
  </w:style>
  <w:style w:type="paragraph" w:styleId="Footer">
    <w:name w:val="footer"/>
    <w:basedOn w:val="Normal"/>
    <w:link w:val="FooterChar"/>
    <w:uiPriority w:val="99"/>
    <w:semiHidden/>
    <w:rsid w:val="004765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765A0"/>
  </w:style>
  <w:style w:type="paragraph" w:styleId="ListParagraph">
    <w:name w:val="List Paragraph"/>
    <w:basedOn w:val="Normal"/>
    <w:uiPriority w:val="99"/>
    <w:qFormat/>
    <w:rsid w:val="00B1160D"/>
    <w:pPr>
      <w:ind w:left="720"/>
    </w:pPr>
  </w:style>
  <w:style w:type="paragraph" w:styleId="NoSpacing">
    <w:name w:val="No Spacing"/>
    <w:link w:val="NoSpacingChar"/>
    <w:uiPriority w:val="99"/>
    <w:qFormat/>
    <w:rsid w:val="00DE12F3"/>
    <w:pPr>
      <w:jc w:val="both"/>
    </w:pPr>
    <w:rPr>
      <w:rFonts w:ascii="Times New Roman" w:hAnsi="Times New Roman"/>
      <w:sz w:val="24"/>
      <w:szCs w:val="24"/>
      <w:lang w:val="sr-Latn-CS"/>
    </w:rPr>
  </w:style>
  <w:style w:type="character" w:customStyle="1" w:styleId="NoSpacingChar">
    <w:name w:val="No Spacing Char"/>
    <w:link w:val="NoSpacing"/>
    <w:uiPriority w:val="99"/>
    <w:locked/>
    <w:rsid w:val="00DE12F3"/>
    <w:rPr>
      <w:rFonts w:ascii="Times New Roman" w:hAnsi="Times New Roman"/>
      <w:sz w:val="24"/>
      <w:szCs w:val="24"/>
      <w:lang w:val="sr-Latn-CS" w:eastAsia="en-US" w:bidi="ar-SA"/>
    </w:rPr>
  </w:style>
  <w:style w:type="paragraph" w:styleId="BalloonText">
    <w:name w:val="Balloon Text"/>
    <w:basedOn w:val="Normal"/>
    <w:link w:val="BalloonTextChar"/>
    <w:uiPriority w:val="99"/>
    <w:semiHidden/>
    <w:rsid w:val="00C5474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C54742"/>
    <w:rPr>
      <w:rFonts w:ascii="Tahoma" w:hAnsi="Tahoma" w:cs="Tahoma"/>
      <w:sz w:val="16"/>
      <w:szCs w:val="16"/>
    </w:rPr>
  </w:style>
  <w:style w:type="character" w:styleId="Hyperlink">
    <w:name w:val="Hyperlink"/>
    <w:uiPriority w:val="99"/>
    <w:rsid w:val="00150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166C-4BD8-4238-8F65-8E8B53E7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PROCEDURA IZVOĐENJA NATIVNE RADIOGRAFIJE ABDOMENA</vt:lpstr>
    </vt:vector>
  </TitlesOfParts>
  <Company>Toshiba</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IZVOĐENJA NATIVNE RADIOGRAFIJE ABDOMENA</dc:title>
  <dc:subject/>
  <dc:creator>pc</dc:creator>
  <cp:keywords/>
  <dc:description/>
  <cp:lastModifiedBy>jelena</cp:lastModifiedBy>
  <cp:revision>4</cp:revision>
  <cp:lastPrinted>2013-10-08T09:33:00Z</cp:lastPrinted>
  <dcterms:created xsi:type="dcterms:W3CDTF">2019-02-21T18:03:00Z</dcterms:created>
  <dcterms:modified xsi:type="dcterms:W3CDTF">2021-12-06T13:25:00Z</dcterms:modified>
</cp:coreProperties>
</file>